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Follow-On Experimental Program After Pilot 2</w:t>
      </w:r>
    </w:p>
    <w:p>
      <w:pPr>
        <w:jc w:val="center"/>
      </w:pPr>
      <w:r>
        <w:rPr>
          <w:b/>
          <w:color w:val="465564"/>
          <w:sz w:val="24"/>
        </w:rPr>
        <w:t>Certification, G3 grammar tests, compositional scaling, target robustness, and third-arena replication</w:t>
      </w:r>
    </w:p>
    <w:p/>
    <w:p>
      <w:pPr>
        <w:pStyle w:val="Callout"/>
        <w:jc w:val="center"/>
      </w:pPr>
      <w:r>
        <w:t>SEPARATE NEXT-STEPS MEMO — NOT PART OF THE FROZEN PILOT 2 RESULT</w:t>
      </w:r>
    </w:p>
    <w:p>
      <w:pPr>
        <w:jc w:val="center"/>
      </w:pPr>
      <w:r>
        <w:rPr>
          <w:sz w:val="20"/>
        </w:rPr>
        <w:t>10 August 2026</w:t>
      </w:r>
    </w:p>
    <w:p>
      <w:pPr>
        <w:jc w:val="center"/>
      </w:pPr>
      <w:r>
        <w:rPr>
          <w:i/>
          <w:sz w:val="18"/>
        </w:rPr>
        <w:t>Research handoff generated from the exact interactive Pilot 2 experiments.</w:t>
      </w:r>
    </w:p>
    <w:p>
      <w:r>
        <w:br w:type="page"/>
      </w:r>
    </w:p>
    <w:p>
      <w:pPr>
        <w:pStyle w:val="Heading1"/>
      </w:pPr>
      <w:r>
        <w:t>Purpose</w:t>
      </w:r>
    </w:p>
    <w:p>
      <w:r>
        <w:t>This memo contains forward-looking recommendations intentionally excluded from the frozen Pilot 2 handoff. Pilot 2 has passed the second-arena gate: a different exact chess geometry independently produced reusable exact semantic predicates that compose, covering 97.69% of its winning basin. It also reproduced the warning that the last adversarial king/blockade boundary can remain locally fragmented.</w:t>
      </w:r>
    </w:p>
    <w:p>
      <w:pPr>
        <w:pStyle w:val="Callout"/>
      </w:pPr>
      <w:r>
        <w:rPr>
          <w:b/>
        </w:rPr>
        <w:t xml:space="preserve">Primary next scientific question: </w:t>
      </w:r>
      <w:r>
        <w:t>Can the remaining local-topology complexity be represented by a common hierarchical predicate language, and do the same compositional mechanisms survive a third arena with a qualitatively different moving piece?</w:t>
      </w:r>
    </w:p>
    <w:p>
      <w:pPr>
        <w:pStyle w:val="Heading1"/>
      </w:pPr>
      <w:r>
        <w:t>1. Gate 2.5: turn Pilot 2 into a repository certificate</w:t>
      </w:r>
    </w:p>
    <w:p>
      <w:pPr>
        <w:pStyle w:val="ListNumber"/>
      </w:pPr>
      <w:r>
        <w:t>Re-run the d+e solver deterministically from a clean repository implementation.</w:t>
      </w:r>
    </w:p>
    <w:p>
      <w:pPr>
        <w:pStyle w:val="ListNumber"/>
      </w:pPr>
      <w:r>
        <w:t>Emit W/D rank bitsets, KPK bitsets, all reduced-geometry tables, and the post-two-lemma residual.</w:t>
      </w:r>
    </w:p>
    <w:p>
      <w:pPr>
        <w:pStyle w:val="ListNumber"/>
      </w:pPr>
      <w:r>
        <w:t>Hash every artifact and record interpreter/compiler/library versions and model flags.</w:t>
      </w:r>
    </w:p>
    <w:p>
      <w:pPr>
        <w:pStyle w:val="ListNumber"/>
      </w:pPr>
      <w:r>
        <w:t>Cross-check legal moves and boundary samples with an independent chess move implementation where representable.</w:t>
      </w:r>
    </w:p>
    <w:p>
      <w:pPr>
        <w:pStyle w:val="ListNumber"/>
      </w:pPr>
      <w:r>
        <w:t>Emit machine-checkable certificates for the KPK inheritance lemma, ten stalemate exceptions, rank-gap-1 theorem, strict stepping-stone reachability, and final blockade-localization lemma.</w:t>
      </w:r>
    </w:p>
    <w:p>
      <w:pPr>
        <w:pStyle w:val="ListNumber"/>
      </w:pPr>
      <w:r>
        <w:t>Treat any unexplained mismatch with the frozen counts as blocking.</w:t>
      </w:r>
    </w:p>
    <w:p>
      <w:pPr>
        <w:pStyle w:val="Heading1"/>
      </w:pPr>
      <w:r>
        <w:t>2. G3: attack the 214-geometry blockade frontier with the right DSL</w:t>
      </w:r>
    </w:p>
    <w:p>
      <w:r>
        <w:t>Do not continue fitting flat trees to absolute squares. The evidence says the remaining variable is local access topology around BK and the two pawns. The next representation should make that topology primitive.</w:t>
      </w:r>
    </w:p>
    <w:p>
      <w:pPr>
        <w:pStyle w:val="ListBullet"/>
      </w:pPr>
      <w:r>
        <w:t>Pawn-pair frame: advanced/rear pawn, rank gap, leader file, support relation.</w:t>
      </w:r>
    </w:p>
    <w:p>
      <w:pPr>
        <w:pStyle w:val="ListBullet"/>
      </w:pPr>
      <w:r>
        <w:t>BK blockade frame: corridor distance, rank relative to each pawn, front/side/rear sector.</w:t>
      </w:r>
    </w:p>
    <w:p>
      <w:pPr>
        <w:pStyle w:val="ListBullet"/>
      </w:pPr>
      <w:r>
        <w:t>Critical support squares: squares from which WK protects a push, controls a capture square, or establishes opposition.</w:t>
      </w:r>
    </w:p>
    <w:p>
      <w:pPr>
        <w:pStyle w:val="ListBullet"/>
      </w:pPr>
      <w:r>
        <w:t>King-access regions: reachability to a critical support set while treating BK and pawn occupancy as moving/conditional obstacles.</w:t>
      </w:r>
    </w:p>
    <w:p>
      <w:pPr>
        <w:pStyle w:val="ListBullet"/>
      </w:pPr>
      <w:r>
        <w:t>Tempo-aware opposition atoms: side to move plus parity of king routes to contact squares.</w:t>
      </w:r>
    </w:p>
    <w:p>
      <w:pPr>
        <w:pStyle w:val="ListBullet"/>
      </w:pPr>
      <w:r>
        <w:t>Local transformations: mirror reflection and pawn-order canonicalization.</w:t>
      </w:r>
    </w:p>
    <w:p>
      <w:pPr>
        <w:pStyle w:val="ListBullet"/>
      </w:pPr>
      <w:r>
        <w:t>Small unions of contact regions rather than raw 64-square masks.</w:t>
      </w:r>
    </w:p>
    <w:p>
      <w:r>
        <w:t>Success should be measured by exact description length and template reuse, not generic classification accuracy.</w:t>
      </w:r>
    </w:p>
    <w:p>
      <w:pPr>
        <w:pStyle w:val="Heading1"/>
      </w:pPr>
      <w:r>
        <w:t>3. Explicit G3 success and failure criteria</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Criterion</w:t>
            </w:r>
          </w:p>
        </w:tc>
        <w:tc>
          <w:tcPr>
            <w:tcW w:type="dxa" w:w="3331"/>
            <w:shd w:fill="D9EAF7"/>
            <w:tcMar>
              <w:top w:w="80" w:type="dxa"/>
              <w:start w:w="100" w:type="dxa"/>
              <w:bottom w:w="80" w:type="dxa"/>
              <w:end w:w="100" w:type="dxa"/>
            </w:tcMar>
            <w:vAlign w:val="center"/>
          </w:tcPr>
          <w:p>
            <w:r>
              <w:rPr>
                <w:b/>
                <w:sz w:val="17"/>
              </w:rPr>
              <w:t>Advance signal</w:t>
            </w:r>
          </w:p>
        </w:tc>
        <w:tc>
          <w:tcPr>
            <w:tcW w:type="dxa" w:w="3331"/>
            <w:shd w:fill="D9EAF7"/>
            <w:tcMar>
              <w:top w:w="80" w:type="dxa"/>
              <w:start w:w="100" w:type="dxa"/>
              <w:bottom w:w="80" w:type="dxa"/>
              <w:end w:w="100" w:type="dxa"/>
            </w:tcMar>
            <w:vAlign w:val="center"/>
          </w:tcPr>
          <w:p>
            <w:r>
              <w:rPr>
                <w:b/>
                <w:sz w:val="17"/>
              </w:rPr>
              <w:t>Warning / failure signal</w:t>
            </w:r>
          </w:p>
        </w:tc>
      </w:tr>
      <w:tr>
        <w:tc>
          <w:tcPr>
            <w:tcW w:type="dxa" w:w="3331"/>
            <w:tcMar>
              <w:top w:w="80" w:type="dxa"/>
              <w:start w:w="100" w:type="dxa"/>
              <w:bottom w:w="80" w:type="dxa"/>
              <w:end w:w="100" w:type="dxa"/>
            </w:tcMar>
          </w:tcPr>
          <w:p>
            <w:r>
              <w:rPr>
                <w:sz w:val="16"/>
              </w:rPr>
              <w:t>Residual grammar</w:t>
            </w:r>
          </w:p>
        </w:tc>
        <w:tc>
          <w:tcPr>
            <w:tcW w:type="dxa" w:w="3331"/>
            <w:tcMar>
              <w:top w:w="80" w:type="dxa"/>
              <w:start w:w="100" w:type="dxa"/>
              <w:bottom w:w="80" w:type="dxa"/>
              <w:end w:w="100" w:type="dxa"/>
            </w:tcMar>
          </w:tcPr>
          <w:p>
            <w:r>
              <w:rPr>
                <w:sz w:val="16"/>
              </w:rPr>
              <w:t>Most of 214 generated by a small parameterized access/blockade vocabulary</w:t>
            </w:r>
          </w:p>
        </w:tc>
        <w:tc>
          <w:tcPr>
            <w:tcW w:type="dxa" w:w="3331"/>
            <w:tcMar>
              <w:top w:w="80" w:type="dxa"/>
              <w:start w:w="100" w:type="dxa"/>
              <w:bottom w:w="80" w:type="dxa"/>
              <w:end w:w="100" w:type="dxa"/>
            </w:tcMar>
          </w:tcPr>
          <w:p>
            <w:r>
              <w:rPr>
                <w:sz w:val="16"/>
              </w:rPr>
              <w:t>Dozens of unrelated exact local masks remain necessary</w:t>
            </w:r>
          </w:p>
        </w:tc>
      </w:tr>
      <w:tr>
        <w:tc>
          <w:tcPr>
            <w:tcW w:type="dxa" w:w="3331"/>
            <w:tcMar>
              <w:top w:w="80" w:type="dxa"/>
              <w:start w:w="100" w:type="dxa"/>
              <w:bottom w:w="80" w:type="dxa"/>
              <w:end w:w="100" w:type="dxa"/>
            </w:tcMar>
          </w:tcPr>
          <w:p>
            <w:r>
              <w:rPr>
                <w:sz w:val="16"/>
              </w:rPr>
              <w:t>Exactness</w:t>
            </w:r>
          </w:p>
        </w:tc>
        <w:tc>
          <w:tcPr>
            <w:tcW w:type="dxa" w:w="3331"/>
            <w:tcMar>
              <w:top w:w="80" w:type="dxa"/>
              <w:start w:w="100" w:type="dxa"/>
              <w:bottom w:w="80" w:type="dxa"/>
              <w:end w:w="100" w:type="dxa"/>
            </w:tcMar>
          </w:tcPr>
          <w:p>
            <w:r>
              <w:rPr>
                <w:sz w:val="16"/>
              </w:rPr>
              <w:t>Zero-false-positive predicates with useful coverage</w:t>
            </w:r>
          </w:p>
        </w:tc>
        <w:tc>
          <w:tcPr>
            <w:tcW w:type="dxa" w:w="3331"/>
            <w:tcMar>
              <w:top w:w="80" w:type="dxa"/>
              <w:start w:w="100" w:type="dxa"/>
              <w:bottom w:w="80" w:type="dxa"/>
              <w:end w:w="100" w:type="dxa"/>
            </w:tcMar>
          </w:tcPr>
          <w:p>
            <w:r>
              <w:rPr>
                <w:sz w:val="16"/>
              </w:rPr>
              <w:t>Only approximate rules remain compact</w:t>
            </w:r>
          </w:p>
        </w:tc>
      </w:tr>
      <w:tr>
        <w:tc>
          <w:tcPr>
            <w:tcW w:type="dxa" w:w="3331"/>
            <w:tcMar>
              <w:top w:w="80" w:type="dxa"/>
              <w:start w:w="100" w:type="dxa"/>
              <w:bottom w:w="80" w:type="dxa"/>
              <w:end w:w="100" w:type="dxa"/>
            </w:tcMar>
          </w:tcPr>
          <w:p>
            <w:r>
              <w:rPr>
                <w:sz w:val="16"/>
              </w:rPr>
              <w:t>Template reuse</w:t>
            </w:r>
          </w:p>
        </w:tc>
        <w:tc>
          <w:tcPr>
            <w:tcW w:type="dxa" w:w="3331"/>
            <w:tcMar>
              <w:top w:w="80" w:type="dxa"/>
              <w:start w:w="100" w:type="dxa"/>
              <w:bottom w:w="80" w:type="dxa"/>
              <w:end w:w="100" w:type="dxa"/>
            </w:tcMar>
          </w:tcPr>
          <w:p>
            <w:r>
              <w:rPr>
                <w:sz w:val="16"/>
              </w:rPr>
              <w:t>Same contact/access templates recur across rank gaps and move orders</w:t>
            </w:r>
          </w:p>
        </w:tc>
        <w:tc>
          <w:tcPr>
            <w:tcW w:type="dxa" w:w="3331"/>
            <w:tcMar>
              <w:top w:w="80" w:type="dxa"/>
              <w:start w:w="100" w:type="dxa"/>
              <w:bottom w:w="80" w:type="dxa"/>
              <w:end w:w="100" w:type="dxa"/>
            </w:tcMar>
          </w:tcPr>
          <w:p>
            <w:r>
              <w:rPr>
                <w:sz w:val="16"/>
              </w:rPr>
              <w:t>Each cell needs bespoke square logic</w:t>
            </w:r>
          </w:p>
        </w:tc>
      </w:tr>
      <w:tr>
        <w:tc>
          <w:tcPr>
            <w:tcW w:type="dxa" w:w="3331"/>
            <w:tcMar>
              <w:top w:w="80" w:type="dxa"/>
              <w:start w:w="100" w:type="dxa"/>
              <w:bottom w:w="80" w:type="dxa"/>
              <w:end w:w="100" w:type="dxa"/>
            </w:tcMar>
          </w:tcPr>
          <w:p>
            <w:r>
              <w:rPr>
                <w:sz w:val="16"/>
              </w:rPr>
              <w:t>Composition</w:t>
            </w:r>
          </w:p>
        </w:tc>
        <w:tc>
          <w:tcPr>
            <w:tcW w:type="dxa" w:w="3331"/>
            <w:tcMar>
              <w:top w:w="80" w:type="dxa"/>
              <w:start w:w="100" w:type="dxa"/>
              <w:bottom w:w="80" w:type="dxa"/>
              <w:end w:w="100" w:type="dxa"/>
            </w:tcMar>
          </w:tcPr>
          <w:p>
            <w:r>
              <w:rPr>
                <w:sz w:val="16"/>
              </w:rPr>
              <w:t>New predicate can be used as a strict reachability target</w:t>
            </w:r>
          </w:p>
        </w:tc>
        <w:tc>
          <w:tcPr>
            <w:tcW w:type="dxa" w:w="3331"/>
            <w:tcMar>
              <w:top w:w="80" w:type="dxa"/>
              <w:start w:w="100" w:type="dxa"/>
              <w:bottom w:w="80" w:type="dxa"/>
              <w:end w:w="100" w:type="dxa"/>
            </w:tcMar>
          </w:tcPr>
          <w:p>
            <w:r>
              <w:rPr>
                <w:sz w:val="16"/>
              </w:rPr>
              <w:t>Predicate only describes solved states post hoc</w:t>
            </w:r>
          </w:p>
        </w:tc>
      </w:tr>
      <w:tr>
        <w:tc>
          <w:tcPr>
            <w:tcW w:type="dxa" w:w="3331"/>
            <w:tcMar>
              <w:top w:w="80" w:type="dxa"/>
              <w:start w:w="100" w:type="dxa"/>
              <w:bottom w:w="80" w:type="dxa"/>
              <w:end w:w="100" w:type="dxa"/>
            </w:tcMar>
          </w:tcPr>
          <w:p>
            <w:r>
              <w:rPr>
                <w:sz w:val="16"/>
              </w:rPr>
              <w:t>Description growth</w:t>
            </w:r>
          </w:p>
        </w:tc>
        <w:tc>
          <w:tcPr>
            <w:tcW w:type="dxa" w:w="3331"/>
            <w:tcMar>
              <w:top w:w="80" w:type="dxa"/>
              <w:start w:w="100" w:type="dxa"/>
              <w:bottom w:w="80" w:type="dxa"/>
              <w:end w:w="100" w:type="dxa"/>
            </w:tcMar>
          </w:tcPr>
          <w:p>
            <w:r>
              <w:rPr>
                <w:sz w:val="16"/>
              </w:rPr>
              <w:t>Symbolic cost grows far slower than residual state count</w:t>
            </w:r>
          </w:p>
        </w:tc>
        <w:tc>
          <w:tcPr>
            <w:tcW w:type="dxa" w:w="3331"/>
            <w:tcMar>
              <w:top w:w="80" w:type="dxa"/>
              <w:start w:w="100" w:type="dxa"/>
              <w:bottom w:w="80" w:type="dxa"/>
              <w:end w:w="100" w:type="dxa"/>
            </w:tcMar>
          </w:tcPr>
          <w:p>
            <w:r>
              <w:rPr>
                <w:sz w:val="16"/>
              </w:rPr>
              <w:t>Grammar approaches lookup-table scale</w:t>
            </w:r>
          </w:p>
        </w:tc>
      </w:tr>
    </w:tbl>
    <w:p>
      <w:pPr>
        <w:pStyle w:val="Heading1"/>
      </w:pPr>
      <w:r>
        <w:t>4. Test a third compositional layer before changing material</w:t>
      </w:r>
    </w:p>
    <w:p>
      <w:r>
        <w:t>Before leaving K+2P vs K, make one bounded attempt to discover a third exact stepping stone from the 214 mixed geometries. Candidate targets should be semantic and local, for example a protected advanced pawn with BK displaced from the corridor, a forced opposition/contact configuration, or a pawn-pair push that changes the rank gap into a previously certified class.</w:t>
      </w:r>
    </w:p>
    <w:p>
      <w:r>
        <w:t>Impose a strict stopping rule: if the third layer requires a large catalogue of square-specific exceptions, freeze the 214 as the demonstrated complexity boundary rather than overfitting it.</w:t>
      </w:r>
    </w:p>
    <w:p>
      <w:pPr>
        <w:pStyle w:val="Heading1"/>
      </w:pPr>
      <w:r>
        <w:t>5. Broaden the two-pawn arena to test stability</w:t>
      </w:r>
    </w:p>
    <w:p>
      <w:r>
        <w:t>The current d+e arena is intentionally symmetric and restricted. The next robustness test should vary pawn files without immediately jumping to all two-pawn configurations.</w:t>
      </w:r>
    </w:p>
    <w:p>
      <w:pPr>
        <w:pStyle w:val="ListBullet"/>
      </w:pPr>
      <w:r>
        <w:t>Adjacent non-central pair c+d, to test edge asymmetry against the central baseline.</w:t>
      </w:r>
    </w:p>
    <w:p>
      <w:pPr>
        <w:pStyle w:val="ListBullet"/>
      </w:pPr>
      <w:r>
        <w:t>Rook-pawn plus neighbour g+h or a+b, to introduce edge effects and stalemate/promoting-corner asymmetry.</w:t>
      </w:r>
    </w:p>
    <w:p>
      <w:pPr>
        <w:pStyle w:val="ListBullet"/>
      </w:pPr>
      <w:r>
        <w:t>Separated pawns such as c+e, to break mutual-support adjacency while retaining two promotion races.</w:t>
      </w:r>
    </w:p>
    <w:p>
      <w:pPr>
        <w:pStyle w:val="ListBullet"/>
      </w:pPr>
      <w:r>
        <w:t>Compare inherited KPK coverage, frequency of universal rank-gap formations, residual size, and grammar reuse across families.</w:t>
      </w:r>
    </w:p>
    <w:p>
      <w:pPr>
        <w:pStyle w:val="Heading1"/>
      </w:pPr>
      <w:r>
        <w:t>6. Third-arena replication: introduce a non-pawn movement topology</w:t>
      </w:r>
    </w:p>
    <w:p>
      <w:r>
        <w:t>If the bounded G3 attempt is informative, the strongest next independent replication is a five-man arena with a qualitatively different local movement manifold. The earlier programme suggested K+B+P vs K+N or a second slider fortress. Pilot 2 strengthens the case for choosing an arena where lower-material inheritance is also available, so compositional reuse can be tested directly.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Candidate</w:t>
            </w:r>
          </w:p>
        </w:tc>
        <w:tc>
          <w:tcPr>
            <w:tcW w:type="dxa" w:w="3331"/>
            <w:shd w:fill="D9EAF7"/>
            <w:tcMar>
              <w:top w:w="80" w:type="dxa"/>
              <w:start w:w="100" w:type="dxa"/>
              <w:bottom w:w="80" w:type="dxa"/>
              <w:end w:w="100" w:type="dxa"/>
            </w:tcMar>
            <w:vAlign w:val="center"/>
          </w:tcPr>
          <w:p>
            <w:r>
              <w:rPr>
                <w:b/>
                <w:sz w:val="17"/>
              </w:rPr>
              <w:t>Scientific value</w:t>
            </w:r>
          </w:p>
        </w:tc>
        <w:tc>
          <w:tcPr>
            <w:tcW w:type="dxa" w:w="3331"/>
            <w:shd w:fill="D9EAF7"/>
            <w:tcMar>
              <w:top w:w="80" w:type="dxa"/>
              <w:start w:w="100" w:type="dxa"/>
              <w:bottom w:w="80" w:type="dxa"/>
              <w:end w:w="100" w:type="dxa"/>
            </w:tcMar>
            <w:vAlign w:val="center"/>
          </w:tcPr>
          <w:p>
            <w:r>
              <w:rPr>
                <w:b/>
                <w:sz w:val="17"/>
              </w:rPr>
              <w:t>Risk</w:t>
            </w:r>
          </w:p>
        </w:tc>
      </w:tr>
      <w:tr>
        <w:tc>
          <w:tcPr>
            <w:tcW w:type="dxa" w:w="3331"/>
            <w:tcMar>
              <w:top w:w="80" w:type="dxa"/>
              <w:start w:w="100" w:type="dxa"/>
              <w:bottom w:w="80" w:type="dxa"/>
              <w:end w:w="100" w:type="dxa"/>
            </w:tcMar>
          </w:tcPr>
          <w:p>
            <w:r>
              <w:rPr>
                <w:sz w:val="16"/>
              </w:rPr>
              <w:t>K+B+P vs K+N</w:t>
            </w:r>
          </w:p>
        </w:tc>
        <w:tc>
          <w:tcPr>
            <w:tcW w:type="dxa" w:w="3331"/>
            <w:tcMar>
              <w:top w:w="80" w:type="dxa"/>
              <w:start w:w="100" w:type="dxa"/>
              <w:bottom w:w="80" w:type="dxa"/>
              <w:end w:w="100" w:type="dxa"/>
            </w:tcMar>
          </w:tcPr>
          <w:p>
            <w:r>
              <w:rPr>
                <w:sz w:val="16"/>
              </w:rPr>
              <w:t>Knight creates local non-linear control; tests whether local grammar survives non-slider topology</w:t>
            </w:r>
          </w:p>
        </w:tc>
        <w:tc>
          <w:tcPr>
            <w:tcW w:type="dxa" w:w="3331"/>
            <w:tcMar>
              <w:top w:w="80" w:type="dxa"/>
              <w:start w:w="100" w:type="dxa"/>
              <w:bottom w:w="80" w:type="dxa"/>
              <w:end w:w="100" w:type="dxa"/>
            </w:tcMar>
          </w:tcPr>
          <w:p>
            <w:r>
              <w:rPr>
                <w:sz w:val="16"/>
              </w:rPr>
              <w:t>Larger exact arena and more terminal material reductions</w:t>
            </w:r>
          </w:p>
        </w:tc>
      </w:tr>
      <w:tr>
        <w:tc>
          <w:tcPr>
            <w:tcW w:type="dxa" w:w="3331"/>
            <w:tcMar>
              <w:top w:w="80" w:type="dxa"/>
              <w:start w:w="100" w:type="dxa"/>
              <w:bottom w:w="80" w:type="dxa"/>
              <w:end w:w="100" w:type="dxa"/>
            </w:tcMar>
          </w:tcPr>
          <w:p>
            <w:r>
              <w:rPr>
                <w:sz w:val="16"/>
              </w:rPr>
              <w:t>K+B+P vs K+B fortress family</w:t>
            </w:r>
          </w:p>
        </w:tc>
        <w:tc>
          <w:tcPr>
            <w:tcW w:type="dxa" w:w="3331"/>
            <w:tcMar>
              <w:top w:w="80" w:type="dxa"/>
              <w:start w:w="100" w:type="dxa"/>
              <w:bottom w:w="80" w:type="dxa"/>
              <w:end w:w="100" w:type="dxa"/>
            </w:tcMar>
          </w:tcPr>
          <w:p>
            <w:r>
              <w:rPr>
                <w:sz w:val="16"/>
              </w:rPr>
              <w:t>Preserves slider obstruction but removes Pilot 1's wrong-corner special property</w:t>
            </w:r>
          </w:p>
        </w:tc>
        <w:tc>
          <w:tcPr>
            <w:tcW w:type="dxa" w:w="3331"/>
            <w:tcMar>
              <w:top w:w="80" w:type="dxa"/>
              <w:start w:w="100" w:type="dxa"/>
              <w:bottom w:w="80" w:type="dxa"/>
              <w:end w:w="100" w:type="dxa"/>
            </w:tcMar>
          </w:tcPr>
          <w:p>
            <w:r>
              <w:rPr>
                <w:sz w:val="16"/>
              </w:rPr>
              <w:t>May remain too close to fortress geometry</w:t>
            </w:r>
          </w:p>
        </w:tc>
      </w:tr>
      <w:tr>
        <w:tc>
          <w:tcPr>
            <w:tcW w:type="dxa" w:w="3331"/>
            <w:tcMar>
              <w:top w:w="80" w:type="dxa"/>
              <w:start w:w="100" w:type="dxa"/>
              <w:bottom w:w="80" w:type="dxa"/>
              <w:end w:w="100" w:type="dxa"/>
            </w:tcMar>
          </w:tcPr>
          <w:p>
            <w:r>
              <w:rPr>
                <w:sz w:val="16"/>
              </w:rPr>
              <w:t>Restricted K+2P vs K+P</w:t>
            </w:r>
          </w:p>
        </w:tc>
        <w:tc>
          <w:tcPr>
            <w:tcW w:type="dxa" w:w="3331"/>
            <w:tcMar>
              <w:top w:w="80" w:type="dxa"/>
              <w:start w:w="100" w:type="dxa"/>
              <w:bottom w:w="80" w:type="dxa"/>
              <w:end w:w="100" w:type="dxa"/>
            </w:tcMar>
          </w:tcPr>
          <w:p>
            <w:r>
              <w:rPr>
                <w:sz w:val="16"/>
              </w:rPr>
              <w:t>Directly tests lower-material inheritance and interacting promotion races</w:t>
            </w:r>
          </w:p>
        </w:tc>
        <w:tc>
          <w:tcPr>
            <w:tcW w:type="dxa" w:w="3331"/>
            <w:tcMar>
              <w:top w:w="80" w:type="dxa"/>
              <w:start w:w="100" w:type="dxa"/>
              <w:bottom w:w="80" w:type="dxa"/>
              <w:end w:w="100" w:type="dxa"/>
            </w:tcMar>
          </w:tcPr>
          <w:p>
            <w:r>
              <w:rPr>
                <w:sz w:val="16"/>
              </w:rPr>
              <w:t>State space and capture semantics grow substantially</w:t>
            </w:r>
          </w:p>
        </w:tc>
      </w:tr>
    </w:tbl>
    <w:p>
      <w:pPr>
        <w:pStyle w:val="Heading1"/>
      </w:pPr>
      <w:r>
        <w:t>7. Make lower-material inheritance a first-class solver operation</w:t>
      </w:r>
    </w:p>
    <w:p>
      <w:r>
        <w:t>Pilot 2's strongest result came from reusing exact KPK truth. Future solvers should automatically project a state onto material-reduction subgames and ask whether a solved lower-material predicate is monotone under restoration of the removed piece, with explicit detection of exceptions such as stalemate.</w:t>
      </w:r>
    </w:p>
    <w:p>
      <w:pPr>
        <w:pStyle w:val="ListNumber"/>
      </w:pPr>
      <w:r>
        <w:t>Enumerate legal material-deletion projections.</w:t>
      </w:r>
    </w:p>
    <w:p>
      <w:pPr>
        <w:pStyle w:val="ListNumber"/>
      </w:pPr>
      <w:r>
        <w:t>Query exact lower-material W/D/L predicates.</w:t>
      </w:r>
    </w:p>
    <w:p>
      <w:pPr>
        <w:pStyle w:val="ListNumber"/>
      </w:pPr>
      <w:r>
        <w:t>Test inheritance as a finite implication over the larger arena.</w:t>
      </w:r>
    </w:p>
    <w:p>
      <w:pPr>
        <w:pStyle w:val="ListNumber"/>
      </w:pPr>
      <w:r>
        <w:t>Classify every counterexample by terminal mechanism or strategic interference.</w:t>
      </w:r>
    </w:p>
    <w:p>
      <w:pPr>
        <w:pStyle w:val="ListNumber"/>
      </w:pPr>
      <w:r>
        <w:t>Store successful inheritance rules as certified lemmas available to higher-material solves.</w:t>
      </w:r>
    </w:p>
    <w:p>
      <w:pPr>
        <w:pStyle w:val="Heading1"/>
      </w:pPr>
      <w:r>
        <w:t>8. General symbolic predicate DSL after two pilots</w:t>
      </w:r>
    </w:p>
    <w:p>
      <w:pPr>
        <w:pStyle w:val="ListBullet"/>
      </w:pPr>
      <w:r>
        <w:t>Distance and tempo atoms: king distances, pawn moves to promotion, parity and move order.</w:t>
      </w:r>
    </w:p>
    <w:p>
      <w:pPr>
        <w:pStyle w:val="ListBullet"/>
      </w:pPr>
      <w:r>
        <w:t>Material-projection atoms: lower-material W/D/L membership.</w:t>
      </w:r>
    </w:p>
    <w:p>
      <w:pPr>
        <w:pStyle w:val="ListBullet"/>
      </w:pPr>
      <w:r>
        <w:t>Formation atoms: pawn rank gap, adjacency, protected passer, connected pawns.</w:t>
      </w:r>
    </w:p>
    <w:p>
      <w:pPr>
        <w:pStyle w:val="ListBullet"/>
      </w:pPr>
      <w:r>
        <w:t>Region atoms: corridor, front/side/rear blockade sectors, king-access regions.</w:t>
      </w:r>
    </w:p>
    <w:p>
      <w:pPr>
        <w:pStyle w:val="ListBullet"/>
      </w:pPr>
      <w:r>
        <w:t>Movement-manifold atoms: bishop diagonal, rook line, knight neighbourhood, pawn corridor.</w:t>
      </w:r>
    </w:p>
    <w:p>
      <w:pPr>
        <w:pStyle w:val="ListBullet"/>
      </w:pPr>
      <w:r>
        <w:t>Projection/contact operations: nearest point, support square, capture square, promotion square.</w:t>
      </w:r>
    </w:p>
    <w:p>
      <w:pPr>
        <w:pStyle w:val="ListBullet"/>
      </w:pPr>
      <w:r>
        <w:t>Interval/region constructors and small parameterized unions.</w:t>
      </w:r>
    </w:p>
    <w:p>
      <w:pPr>
        <w:pStyle w:val="ListBullet"/>
      </w:pPr>
      <w:r>
        <w:t>Exact reachability-to-predicate operators, so a predicate can become a certified stepping stone rather than only a classifier.</w:t>
      </w:r>
    </w:p>
    <w:p>
      <w:pPr>
        <w:pStyle w:val="Heading1"/>
      </w:pPr>
      <w:r>
        <w:t>9. Quantitative dashboard for Pilot 3 and beyond</w:t>
      </w: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80" w:type="dxa"/>
              <w:start w:w="100" w:type="dxa"/>
              <w:bottom w:w="80" w:type="dxa"/>
              <w:end w:w="100" w:type="dxa"/>
            </w:tcMar>
            <w:vAlign w:val="center"/>
          </w:tcPr>
          <w:p>
            <w:r>
              <w:rPr>
                <w:b/>
                <w:sz w:val="17"/>
              </w:rPr>
              <w:t>Metric</w:t>
            </w:r>
          </w:p>
        </w:tc>
        <w:tc>
          <w:tcPr>
            <w:tcW w:type="dxa" w:w="4997"/>
            <w:shd w:fill="D9EAF7"/>
            <w:tcMar>
              <w:top w:w="80" w:type="dxa"/>
              <w:start w:w="100" w:type="dxa"/>
              <w:bottom w:w="80" w:type="dxa"/>
              <w:end w:w="100" w:type="dxa"/>
            </w:tcMar>
            <w:vAlign w:val="center"/>
          </w:tcPr>
          <w:p>
            <w:r>
              <w:rPr>
                <w:b/>
                <w:sz w:val="17"/>
              </w:rPr>
              <w:t>Reason</w:t>
            </w:r>
          </w:p>
        </w:tc>
      </w:tr>
      <w:tr>
        <w:tc>
          <w:tcPr>
            <w:tcW w:type="dxa" w:w="4997"/>
            <w:tcMar>
              <w:top w:w="80" w:type="dxa"/>
              <w:start w:w="100" w:type="dxa"/>
              <w:bottom w:w="80" w:type="dxa"/>
              <w:end w:w="100" w:type="dxa"/>
            </w:tcMar>
          </w:tcPr>
          <w:p>
            <w:r>
              <w:rPr>
                <w:sz w:val="16"/>
              </w:rPr>
              <w:t>Exact basin size and layer histogram</w:t>
            </w:r>
          </w:p>
        </w:tc>
        <w:tc>
          <w:tcPr>
            <w:tcW w:type="dxa" w:w="4997"/>
            <w:tcMar>
              <w:top w:w="80" w:type="dxa"/>
              <w:start w:w="100" w:type="dxa"/>
              <w:bottom w:w="80" w:type="dxa"/>
              <w:end w:w="100" w:type="dxa"/>
            </w:tcMar>
          </w:tcPr>
          <w:p>
            <w:r>
              <w:rPr>
                <w:sz w:val="16"/>
              </w:rPr>
              <w:t>Raw solve growth</w:t>
            </w:r>
          </w:p>
        </w:tc>
      </w:tr>
      <w:tr>
        <w:tc>
          <w:tcPr>
            <w:tcW w:type="dxa" w:w="4997"/>
            <w:tcMar>
              <w:top w:w="80" w:type="dxa"/>
              <w:start w:w="100" w:type="dxa"/>
              <w:bottom w:w="80" w:type="dxa"/>
              <w:end w:w="100" w:type="dxa"/>
            </w:tcMar>
          </w:tcPr>
          <w:p>
            <w:r>
              <w:rPr>
                <w:sz w:val="16"/>
              </w:rPr>
              <w:t>Inherited lower-material coverage</w:t>
            </w:r>
          </w:p>
        </w:tc>
        <w:tc>
          <w:tcPr>
            <w:tcW w:type="dxa" w:w="4997"/>
            <w:tcMar>
              <w:top w:w="80" w:type="dxa"/>
              <w:start w:w="100" w:type="dxa"/>
              <w:bottom w:w="80" w:type="dxa"/>
              <w:end w:w="100" w:type="dxa"/>
            </w:tcMar>
          </w:tcPr>
          <w:p>
            <w:r>
              <w:rPr>
                <w:sz w:val="16"/>
              </w:rPr>
              <w:t>Measures compositional reuse</w:t>
            </w:r>
          </w:p>
        </w:tc>
      </w:tr>
      <w:tr>
        <w:tc>
          <w:tcPr>
            <w:tcW w:type="dxa" w:w="4997"/>
            <w:tcMar>
              <w:top w:w="80" w:type="dxa"/>
              <w:start w:w="100" w:type="dxa"/>
              <w:bottom w:w="80" w:type="dxa"/>
              <w:end w:w="100" w:type="dxa"/>
            </w:tcMar>
          </w:tcPr>
          <w:p>
            <w:r>
              <w:rPr>
                <w:sz w:val="16"/>
              </w:rPr>
              <w:t>New stepping-stone coverage</w:t>
            </w:r>
          </w:p>
        </w:tc>
        <w:tc>
          <w:tcPr>
            <w:tcW w:type="dxa" w:w="4997"/>
            <w:tcMar>
              <w:top w:w="80" w:type="dxa"/>
              <w:start w:w="100" w:type="dxa"/>
              <w:bottom w:w="80" w:type="dxa"/>
              <w:end w:w="100" w:type="dxa"/>
            </w:tcMar>
          </w:tcPr>
          <w:p>
            <w:r>
              <w:rPr>
                <w:sz w:val="16"/>
              </w:rPr>
              <w:t>Measures added symbolic value</w:t>
            </w:r>
          </w:p>
        </w:tc>
      </w:tr>
      <w:tr>
        <w:tc>
          <w:tcPr>
            <w:tcW w:type="dxa" w:w="4997"/>
            <w:tcMar>
              <w:top w:w="80" w:type="dxa"/>
              <w:start w:w="100" w:type="dxa"/>
              <w:bottom w:w="80" w:type="dxa"/>
              <w:end w:w="100" w:type="dxa"/>
            </w:tcMar>
          </w:tcPr>
          <w:p>
            <w:r>
              <w:rPr>
                <w:sz w:val="16"/>
              </w:rPr>
              <w:t>Combined exact coverage</w:t>
            </w:r>
          </w:p>
        </w:tc>
        <w:tc>
          <w:tcPr>
            <w:tcW w:type="dxa" w:w="4997"/>
            <w:tcMar>
              <w:top w:w="80" w:type="dxa"/>
              <w:start w:w="100" w:type="dxa"/>
              <w:bottom w:w="80" w:type="dxa"/>
              <w:end w:w="100" w:type="dxa"/>
            </w:tcMar>
          </w:tcPr>
          <w:p>
            <w:r>
              <w:rPr>
                <w:sz w:val="16"/>
              </w:rPr>
              <w:t>Direct compression of solved basin</w:t>
            </w:r>
          </w:p>
        </w:tc>
      </w:tr>
      <w:tr>
        <w:tc>
          <w:tcPr>
            <w:tcW w:type="dxa" w:w="4997"/>
            <w:tcMar>
              <w:top w:w="80" w:type="dxa"/>
              <w:start w:w="100" w:type="dxa"/>
              <w:bottom w:w="80" w:type="dxa"/>
              <w:end w:w="100" w:type="dxa"/>
            </w:tcMar>
          </w:tcPr>
          <w:p>
            <w:r>
              <w:rPr>
                <w:sz w:val="16"/>
              </w:rPr>
              <w:t>Residual states / reduced geometries</w:t>
            </w:r>
          </w:p>
        </w:tc>
        <w:tc>
          <w:tcPr>
            <w:tcW w:type="dxa" w:w="4997"/>
            <w:tcMar>
              <w:top w:w="80" w:type="dxa"/>
              <w:start w:w="100" w:type="dxa"/>
              <w:bottom w:w="80" w:type="dxa"/>
              <w:end w:w="100" w:type="dxa"/>
            </w:tcMar>
          </w:tcPr>
          <w:p>
            <w:r>
              <w:rPr>
                <w:sz w:val="16"/>
              </w:rPr>
              <w:t>Size of unresolved boundary</w:t>
            </w:r>
          </w:p>
        </w:tc>
      </w:tr>
      <w:tr>
        <w:tc>
          <w:tcPr>
            <w:tcW w:type="dxa" w:w="4997"/>
            <w:tcMar>
              <w:top w:w="80" w:type="dxa"/>
              <w:start w:w="100" w:type="dxa"/>
              <w:bottom w:w="80" w:type="dxa"/>
              <w:end w:w="100" w:type="dxa"/>
            </w:tcMar>
          </w:tcPr>
          <w:p>
            <w:r>
              <w:rPr>
                <w:sz w:val="16"/>
              </w:rPr>
              <w:t>Critical-manifold codimension</w:t>
            </w:r>
          </w:p>
        </w:tc>
        <w:tc>
          <w:tcPr>
            <w:tcW w:type="dxa" w:w="4997"/>
            <w:tcMar>
              <w:top w:w="80" w:type="dxa"/>
              <w:start w:w="100" w:type="dxa"/>
              <w:bottom w:w="80" w:type="dxa"/>
              <w:end w:w="100" w:type="dxa"/>
            </w:tcMar>
          </w:tcPr>
          <w:p>
            <w:r>
              <w:rPr>
                <w:sz w:val="16"/>
              </w:rPr>
              <w:t>Whether difficulty localizes</w:t>
            </w:r>
          </w:p>
        </w:tc>
      </w:tr>
      <w:tr>
        <w:tc>
          <w:tcPr>
            <w:tcW w:type="dxa" w:w="4997"/>
            <w:tcMar>
              <w:top w:w="80" w:type="dxa"/>
              <w:start w:w="100" w:type="dxa"/>
              <w:bottom w:w="80" w:type="dxa"/>
              <w:end w:w="100" w:type="dxa"/>
            </w:tcMar>
          </w:tcPr>
          <w:p>
            <w:r>
              <w:rPr>
                <w:sz w:val="16"/>
              </w:rPr>
              <w:t>Predicate AST/template count</w:t>
            </w:r>
          </w:p>
        </w:tc>
        <w:tc>
          <w:tcPr>
            <w:tcW w:type="dxa" w:w="4997"/>
            <w:tcMar>
              <w:top w:w="80" w:type="dxa"/>
              <w:start w:w="100" w:type="dxa"/>
              <w:bottom w:w="80" w:type="dxa"/>
              <w:end w:w="100" w:type="dxa"/>
            </w:tcMar>
          </w:tcPr>
          <w:p>
            <w:r>
              <w:rPr>
                <w:sz w:val="16"/>
              </w:rPr>
              <w:t>Description complexity</w:t>
            </w:r>
          </w:p>
        </w:tc>
      </w:tr>
      <w:tr>
        <w:tc>
          <w:tcPr>
            <w:tcW w:type="dxa" w:w="4997"/>
            <w:tcMar>
              <w:top w:w="80" w:type="dxa"/>
              <w:start w:w="100" w:type="dxa"/>
              <w:bottom w:w="80" w:type="dxa"/>
              <w:end w:w="100" w:type="dxa"/>
            </w:tcMar>
          </w:tcPr>
          <w:p>
            <w:r>
              <w:rPr>
                <w:sz w:val="16"/>
              </w:rPr>
              <w:t>Counterexample family count</w:t>
            </w:r>
          </w:p>
        </w:tc>
        <w:tc>
          <w:tcPr>
            <w:tcW w:type="dxa" w:w="4997"/>
            <w:tcMar>
              <w:top w:w="80" w:type="dxa"/>
              <w:start w:w="100" w:type="dxa"/>
              <w:bottom w:w="80" w:type="dxa"/>
              <w:end w:w="100" w:type="dxa"/>
            </w:tcMar>
          </w:tcPr>
          <w:p>
            <w:r>
              <w:rPr>
                <w:sz w:val="16"/>
              </w:rPr>
              <w:t>Whether corrections are semantic or lookup-like</w:t>
            </w:r>
          </w:p>
        </w:tc>
      </w:tr>
      <w:tr>
        <w:tc>
          <w:tcPr>
            <w:tcW w:type="dxa" w:w="4997"/>
            <w:tcMar>
              <w:top w:w="80" w:type="dxa"/>
              <w:start w:w="100" w:type="dxa"/>
              <w:bottom w:w="80" w:type="dxa"/>
              <w:end w:w="100" w:type="dxa"/>
            </w:tcMar>
          </w:tcPr>
          <w:p>
            <w:r>
              <w:rPr>
                <w:sz w:val="16"/>
              </w:rPr>
              <w:t>Cross-arena template reuse</w:t>
            </w:r>
          </w:p>
        </w:tc>
        <w:tc>
          <w:tcPr>
            <w:tcW w:type="dxa" w:w="4997"/>
            <w:tcMar>
              <w:top w:w="80" w:type="dxa"/>
              <w:start w:w="100" w:type="dxa"/>
              <w:bottom w:w="80" w:type="dxa"/>
              <w:end w:w="100" w:type="dxa"/>
            </w:tcMar>
          </w:tcPr>
          <w:p>
            <w:r>
              <w:rPr>
                <w:sz w:val="16"/>
              </w:rPr>
              <w:t>Evidence for a general language</w:t>
            </w:r>
          </w:p>
        </w:tc>
      </w:tr>
      <w:tr>
        <w:tc>
          <w:tcPr>
            <w:tcW w:type="dxa" w:w="4997"/>
            <w:tcMar>
              <w:top w:w="80" w:type="dxa"/>
              <w:start w:w="100" w:type="dxa"/>
              <w:bottom w:w="80" w:type="dxa"/>
              <w:end w:w="100" w:type="dxa"/>
            </w:tcMar>
          </w:tcPr>
          <w:p>
            <w:r>
              <w:rPr>
                <w:sz w:val="16"/>
              </w:rPr>
              <w:t>Strict reachability coverage</w:t>
            </w:r>
          </w:p>
        </w:tc>
        <w:tc>
          <w:tcPr>
            <w:tcW w:type="dxa" w:w="4997"/>
            <w:tcMar>
              <w:top w:w="80" w:type="dxa"/>
              <w:start w:w="100" w:type="dxa"/>
              <w:bottom w:w="80" w:type="dxa"/>
              <w:end w:w="100" w:type="dxa"/>
            </w:tcMar>
          </w:tcPr>
          <w:p>
            <w:r>
              <w:rPr>
                <w:sz w:val="16"/>
              </w:rPr>
              <w:t>Distinguishes true stepping stones from post-hoc descriptions</w:t>
            </w:r>
          </w:p>
        </w:tc>
      </w:tr>
    </w:tbl>
    <w:p>
      <w:pPr>
        <w:pStyle w:val="Heading1"/>
      </w:pPr>
      <w:r>
        <w:t>10. Updated decision gates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Gate</w:t>
            </w:r>
          </w:p>
        </w:tc>
        <w:tc>
          <w:tcPr>
            <w:tcW w:type="dxa" w:w="3331"/>
            <w:shd w:fill="D9EAF7"/>
            <w:tcMar>
              <w:top w:w="80" w:type="dxa"/>
              <w:start w:w="100" w:type="dxa"/>
              <w:bottom w:w="80" w:type="dxa"/>
              <w:end w:w="100" w:type="dxa"/>
            </w:tcMar>
            <w:vAlign w:val="center"/>
          </w:tcPr>
          <w:p>
            <w:r>
              <w:rPr>
                <w:b/>
                <w:sz w:val="17"/>
              </w:rPr>
              <w:t>Advance if...</w:t>
            </w:r>
          </w:p>
        </w:tc>
        <w:tc>
          <w:tcPr>
            <w:tcW w:type="dxa" w:w="3331"/>
            <w:shd w:fill="D9EAF7"/>
            <w:tcMar>
              <w:top w:w="80" w:type="dxa"/>
              <w:start w:w="100" w:type="dxa"/>
              <w:bottom w:w="80" w:type="dxa"/>
              <w:end w:w="100" w:type="dxa"/>
            </w:tcMar>
            <w:vAlign w:val="center"/>
          </w:tcPr>
          <w:p>
            <w:r>
              <w:rPr>
                <w:b/>
                <w:sz w:val="17"/>
              </w:rPr>
              <w:t>Stop / rethink if...</w:t>
            </w:r>
          </w:p>
        </w:tc>
      </w:tr>
      <w:tr>
        <w:tc>
          <w:tcPr>
            <w:tcW w:type="dxa" w:w="3331"/>
            <w:tcMar>
              <w:top w:w="80" w:type="dxa"/>
              <w:start w:w="100" w:type="dxa"/>
              <w:bottom w:w="80" w:type="dxa"/>
              <w:end w:w="100" w:type="dxa"/>
            </w:tcMar>
          </w:tcPr>
          <w:p>
            <w:r>
              <w:rPr>
                <w:sz w:val="16"/>
              </w:rPr>
              <w:t>G2 — Second arena</w:t>
            </w:r>
          </w:p>
        </w:tc>
        <w:tc>
          <w:tcPr>
            <w:tcW w:type="dxa" w:w="3331"/>
            <w:tcMar>
              <w:top w:w="80" w:type="dxa"/>
              <w:start w:w="100" w:type="dxa"/>
              <w:bottom w:w="80" w:type="dxa"/>
              <w:end w:w="100" w:type="dxa"/>
            </w:tcMar>
          </w:tcPr>
          <w:p>
            <w:r>
              <w:rPr>
                <w:sz w:val="16"/>
              </w:rPr>
              <w:t>PASSED: exact composition and localized residual reproduced</w:t>
            </w:r>
          </w:p>
        </w:tc>
        <w:tc>
          <w:tcPr>
            <w:tcW w:type="dxa" w:w="3331"/>
            <w:tcMar>
              <w:top w:w="80" w:type="dxa"/>
              <w:start w:w="100" w:type="dxa"/>
              <w:bottom w:w="80" w:type="dxa"/>
              <w:end w:w="100" w:type="dxa"/>
            </w:tcMar>
          </w:tcPr>
          <w:p>
            <w:r>
              <w:rPr>
                <w:sz w:val="16"/>
              </w:rPr>
              <w:t>—</w:t>
            </w:r>
          </w:p>
        </w:tc>
      </w:tr>
      <w:tr>
        <w:tc>
          <w:tcPr>
            <w:tcW w:type="dxa" w:w="3331"/>
            <w:tcMar>
              <w:top w:w="80" w:type="dxa"/>
              <w:start w:w="100" w:type="dxa"/>
              <w:bottom w:w="80" w:type="dxa"/>
              <w:end w:w="100" w:type="dxa"/>
            </w:tcMar>
          </w:tcPr>
          <w:p>
            <w:r>
              <w:rPr>
                <w:sz w:val="16"/>
              </w:rPr>
              <w:t>G3 — Exact grammar</w:t>
            </w:r>
          </w:p>
        </w:tc>
        <w:tc>
          <w:tcPr>
            <w:tcW w:type="dxa" w:w="3331"/>
            <w:tcMar>
              <w:top w:w="80" w:type="dxa"/>
              <w:start w:w="100" w:type="dxa"/>
              <w:bottom w:w="80" w:type="dxa"/>
              <w:end w:w="100" w:type="dxa"/>
            </w:tcMar>
          </w:tcPr>
          <w:p>
            <w:r>
              <w:rPr>
                <w:sz w:val="16"/>
              </w:rPr>
              <w:t>214-frontier admits compact reusable local topology, or a principled bounded complexity boundary is established</w:t>
            </w:r>
          </w:p>
        </w:tc>
        <w:tc>
          <w:tcPr>
            <w:tcW w:type="dxa" w:w="3331"/>
            <w:tcMar>
              <w:top w:w="80" w:type="dxa"/>
              <w:start w:w="100" w:type="dxa"/>
              <w:bottom w:w="80" w:type="dxa"/>
              <w:end w:w="100" w:type="dxa"/>
            </w:tcMar>
          </w:tcPr>
          <w:p>
            <w:r>
              <w:rPr>
                <w:sz w:val="16"/>
              </w:rPr>
              <w:t>Exactness needs near-case-by-case masks with no reusable structure</w:t>
            </w:r>
          </w:p>
        </w:tc>
      </w:tr>
      <w:tr>
        <w:tc>
          <w:tcPr>
            <w:tcW w:type="dxa" w:w="3331"/>
            <w:tcMar>
              <w:top w:w="80" w:type="dxa"/>
              <w:start w:w="100" w:type="dxa"/>
              <w:bottom w:w="80" w:type="dxa"/>
              <w:end w:w="100" w:type="dxa"/>
            </w:tcMar>
          </w:tcPr>
          <w:p>
            <w:r>
              <w:rPr>
                <w:sz w:val="16"/>
              </w:rPr>
              <w:t>G4 — Composition</w:t>
            </w:r>
          </w:p>
        </w:tc>
        <w:tc>
          <w:tcPr>
            <w:tcW w:type="dxa" w:w="3331"/>
            <w:tcMar>
              <w:top w:w="80" w:type="dxa"/>
              <w:start w:w="100" w:type="dxa"/>
              <w:bottom w:w="80" w:type="dxa"/>
              <w:end w:w="100" w:type="dxa"/>
            </w:tcMar>
          </w:tcPr>
          <w:p>
            <w:r>
              <w:rPr>
                <w:sz w:val="16"/>
              </w:rPr>
              <w:t>A third arena reuses inherited predicates and/or strict stepping stones</w:t>
            </w:r>
          </w:p>
        </w:tc>
        <w:tc>
          <w:tcPr>
            <w:tcW w:type="dxa" w:w="3331"/>
            <w:tcMar>
              <w:top w:w="80" w:type="dxa"/>
              <w:start w:w="100" w:type="dxa"/>
              <w:bottom w:w="80" w:type="dxa"/>
              <w:end w:w="100" w:type="dxa"/>
            </w:tcMar>
          </w:tcPr>
          <w:p>
            <w:r>
              <w:rPr>
                <w:sz w:val="16"/>
              </w:rPr>
              <w:t>Composition is unique to K+2P</w:t>
            </w:r>
          </w:p>
        </w:tc>
      </w:tr>
      <w:tr>
        <w:tc>
          <w:tcPr>
            <w:tcW w:type="dxa" w:w="3331"/>
            <w:tcMar>
              <w:top w:w="80" w:type="dxa"/>
              <w:start w:w="100" w:type="dxa"/>
              <w:bottom w:w="80" w:type="dxa"/>
              <w:end w:w="100" w:type="dxa"/>
            </w:tcMar>
          </w:tcPr>
          <w:p>
            <w:r>
              <w:rPr>
                <w:sz w:val="16"/>
              </w:rPr>
              <w:t>G5 — Target/material robustness</w:t>
            </w:r>
          </w:p>
        </w:tc>
        <w:tc>
          <w:tcPr>
            <w:tcW w:type="dxa" w:w="3331"/>
            <w:tcMar>
              <w:top w:w="80" w:type="dxa"/>
              <w:start w:w="100" w:type="dxa"/>
              <w:bottom w:w="80" w:type="dxa"/>
              <w:end w:w="100" w:type="dxa"/>
            </w:tcMar>
          </w:tcPr>
          <w:p>
            <w:r>
              <w:rPr>
                <w:sz w:val="16"/>
              </w:rPr>
              <w:t>Changing pawn families or safe targets grows coverage faster than description cost</w:t>
            </w:r>
          </w:p>
        </w:tc>
        <w:tc>
          <w:tcPr>
            <w:tcW w:type="dxa" w:w="3331"/>
            <w:tcMar>
              <w:top w:w="80" w:type="dxa"/>
              <w:start w:w="100" w:type="dxa"/>
              <w:bottom w:w="80" w:type="dxa"/>
              <w:end w:w="100" w:type="dxa"/>
            </w:tcMar>
          </w:tcPr>
          <w:p>
            <w:r>
              <w:rPr>
                <w:sz w:val="16"/>
              </w:rPr>
              <w:t>Small changes destroy the grammar</w:t>
            </w:r>
          </w:p>
        </w:tc>
      </w:tr>
      <w:tr>
        <w:tc>
          <w:tcPr>
            <w:tcW w:type="dxa" w:w="3331"/>
            <w:tcMar>
              <w:top w:w="80" w:type="dxa"/>
              <w:start w:w="100" w:type="dxa"/>
              <w:bottom w:w="80" w:type="dxa"/>
              <w:end w:w="100" w:type="dxa"/>
            </w:tcMar>
          </w:tcPr>
          <w:p>
            <w:r>
              <w:rPr>
                <w:sz w:val="16"/>
              </w:rPr>
              <w:t>G6 — Scale</w:t>
            </w:r>
          </w:p>
        </w:tc>
        <w:tc>
          <w:tcPr>
            <w:tcW w:type="dxa" w:w="3331"/>
            <w:tcMar>
              <w:top w:w="80" w:type="dxa"/>
              <w:start w:w="100" w:type="dxa"/>
              <w:bottom w:w="80" w:type="dxa"/>
              <w:end w:w="100" w:type="dxa"/>
            </w:tcMar>
          </w:tcPr>
          <w:p>
            <w:r>
              <w:rPr>
                <w:sz w:val="16"/>
              </w:rPr>
              <w:t>Representation and proof cost remain sublinear enough to justify larger material</w:t>
            </w:r>
          </w:p>
        </w:tc>
        <w:tc>
          <w:tcPr>
            <w:tcW w:type="dxa" w:w="3331"/>
            <w:tcMar>
              <w:top w:w="80" w:type="dxa"/>
              <w:start w:w="100" w:type="dxa"/>
              <w:bottom w:w="80" w:type="dxa"/>
              <w:end w:w="100" w:type="dxa"/>
            </w:tcMar>
          </w:tcPr>
          <w:p>
            <w:r>
              <w:rPr>
                <w:sz w:val="16"/>
              </w:rPr>
              <w:t>Symbolic machinery tracks raw state explosion</w:t>
            </w:r>
          </w:p>
        </w:tc>
      </w:tr>
    </w:tbl>
    <w:p>
      <w:pPr>
        <w:pStyle w:val="Heading1"/>
      </w:pPr>
      <w:r>
        <w:t>11. Recommended experiment sequence</w:t>
      </w:r>
    </w:p>
    <w:p>
      <w:pPr>
        <w:pStyle w:val="ListNumber"/>
      </w:pPr>
      <w:r>
        <w:t>Repository-certify Pilot 2 and freeze hashes/counterexample logs.</w:t>
      </w:r>
    </w:p>
    <w:p>
      <w:pPr>
        <w:pStyle w:val="ListNumber"/>
      </w:pPr>
      <w:r>
        <w:t>Run one bounded G3 pass on the 214 blockade geometries using an access-region DSL.</w:t>
      </w:r>
    </w:p>
    <w:p>
      <w:pPr>
        <w:pStyle w:val="ListNumber"/>
      </w:pPr>
      <w:r>
        <w:t>Test adjacent non-central and edge pawn families for stability of KPK inheritance and staggered-pawn composition.</w:t>
      </w:r>
    </w:p>
    <w:p>
      <w:pPr>
        <w:pStyle w:val="ListNumber"/>
      </w:pPr>
      <w:r>
        <w:t>Unify Pilot 1 and Pilot 2 predicates in one hierarchical representation language.</w:t>
      </w:r>
    </w:p>
    <w:p>
      <w:pPr>
        <w:pStyle w:val="ListNumber"/>
      </w:pPr>
      <w:r>
        <w:t>Run a five-man third arena, preferably K+B+P vs K+N or a carefully restricted K+2P vs K+P family.</w:t>
      </w:r>
    </w:p>
    <w:p>
      <w:pPr>
        <w:pStyle w:val="ListNumber"/>
      </w:pPr>
      <w:r>
        <w:t>Require strict predicate-to-predicate reachability tests in every arena.</w:t>
      </w:r>
    </w:p>
    <w:p>
      <w:pPr>
        <w:pStyle w:val="ListNumber"/>
      </w:pPr>
      <w:r>
        <w:t>Only after cross-arena reuse is demonstrated should material count become the primary scaling axis.</w:t>
      </w:r>
    </w:p>
    <w:p>
      <w:pPr>
        <w:pStyle w:val="Heading1"/>
      </w:pPr>
      <w:r>
        <w:t>12. Research-agent kickoff framing</w:t>
      </w:r>
    </w:p>
    <w:p>
      <w:r>
        <w:t>The next agent should not be told to make the remaining 214 cases look simple. It should be told that two exact compositional mechanisms already explain 97.69% of Pilot 2's winning basin, and that the scientific question is whether the final blockade boundary has a compact reusable topology or is the natural complexity floor of this arena.</w:t>
      </w:r>
    </w:p>
    <w:p>
      <w:pPr>
        <w:pStyle w:val="Callout"/>
      </w:pPr>
      <w:r>
        <w:rPr>
          <w:b/>
        </w:rPr>
        <w:t xml:space="preserve">North-star question for the next agent: </w:t>
      </w:r>
      <w:r>
        <w:t>Can exact lower-material inheritance, formation predicates, and local access-region grammars be composed into a common proof language that continues to compress adversarial chess basins across materially different arenas?</w:t>
      </w:r>
    </w:p>
    <w:p>
      <w:pPr>
        <w:pStyle w:val="Heading1"/>
      </w:pPr>
      <w:r>
        <w:t>13. What not to do next</w:t>
      </w:r>
    </w:p>
    <w:p>
      <w:pPr>
        <w:pStyle w:val="ListBullet"/>
      </w:pPr>
      <w:r>
        <w:t>Do not hide the 65-mask / ~92-leaf contact complexity by adding arbitrary absolute square IDs.</w:t>
      </w:r>
    </w:p>
    <w:p>
      <w:pPr>
        <w:pStyle w:val="ListBullet"/>
      </w:pPr>
      <w:r>
        <w:t>Do not count high classifier accuracy as G3 success.</w:t>
      </w:r>
    </w:p>
    <w:p>
      <w:pPr>
        <w:pStyle w:val="ListBullet"/>
      </w:pPr>
      <w:r>
        <w:t>Do not discard the ten KPK-inheritance exceptions; their stalemate semantics are part of the theorem.</w:t>
      </w:r>
    </w:p>
    <w:p>
      <w:pPr>
        <w:pStyle w:val="ListBullet"/>
      </w:pPr>
      <w:r>
        <w:t>Do not generalize the rank-gap-1 theorem outside its explicitly stated residual domain without re-verification.</w:t>
      </w:r>
    </w:p>
    <w:p>
      <w:pPr>
        <w:pStyle w:val="ListBullet"/>
      </w:pPr>
      <w:r>
        <w:t>Do not jump directly to unrestricted five- or six-man chess before certificate and robustness tests.</w:t>
      </w:r>
    </w:p>
    <w:p>
      <w:pPr>
        <w:pStyle w:val="ListBullet"/>
      </w:pPr>
      <w:r>
        <w:t>Do not replace exact lower-material truth with engine evaluation.</w:t>
      </w:r>
    </w:p>
    <w:p>
      <w:pPr>
        <w:pStyle w:val="ListBullet"/>
      </w:pPr>
      <w:r>
        <w:t>Do not keep polishing the 214 indefinitely if a bounded DSL search shows lookup-scale complexity.</w:t>
      </w:r>
    </w:p>
    <w:p>
      <w:pPr>
        <w:pStyle w:val="Heading1"/>
      </w:pPr>
      <w:r>
        <w:t>Closing recommendation</w:t>
      </w:r>
    </w:p>
    <w:p>
      <w:r>
        <w:t>Pilot 2 materially strengthens the research programme because it demonstrates not merely symbolic structure but exact compositional reuse: a lower-material theorem and a newly discovered formation predicate together certify almost the entire winning basin. The next programme should preserve that advantage by making inheritance and strict predicate reachability first-class operations, while treating the stubborn 214-geometry blockade frontier as a falsifiable test of the representation language rather than a requirement to force every ending into a tiny formula.</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10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Pilot 2 — Follow-On Experimental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