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jpg" ContentType="image/jpeg"/>
  <Override PartName="/word/media/rId12.jpg" ContentType="image/jpeg"/>
  <Override PartName="/word/media/rId30.jpg" ContentType="image/jpeg"/>
  <Override PartName="/word/media/rId15.jpg" ContentType="image/jpeg"/>
  <Override PartName="/word/media/rId21.jpg" ContentType="image/jpeg"/>
  <Override PartName="/word/media/rId9.jpg" ContentType="image/jpeg"/>
  <Override PartName="/word/media/rId2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p>
      <w:pPr>
        <w:pStyle w:val="FirstParagraph"/>
      </w:pPr>
      <w:r>
        <w:t xml:space="preserve">Figure Captions</w:t>
      </w:r>
    </w:p>
    <w:p>
      <w:pPr>
        <w:pStyle w:val="BodyText"/>
      </w:pPr>
      <w:r>
        <w:t xml:space="preserve">Figure 1. Summary of density and life history outcomes in response to treatments (n = 2132). A) Local densities (ind/ha) of red squirrels in response to treatment at the grid level. B) Average local density (ind/ha) of squirrels over time and in response to grid-level treatment (line type). C) litter growth rate (g/day) in response to treatment. D) litter size in response to treatment. In C and D treatment is shown as a combination of grid-level and mother-level treatment; a mother was either on a control grid, was on a food grid and had a bucket (turquoise fill), was on a food grid but did not have a bucket, or was on a rattle playback grid.</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1987), cache (n = 457), and rattle (n = 236), that test how growth rate and litter size respond to local density. After all fixed effects and random effects are accounted for, this is how litter size and growth rate relate to one another in each scenario. Data points represent litters, red ellipses represent the 50% confidence levels, and orange ellipses represent the 95% confidence levels.</w:t>
      </w:r>
    </w:p>
    <w:p>
      <w:pPr>
        <w:pStyle w:val="BodyText"/>
      </w:pPr>
      <w:r>
        <w:t xml:space="preserve">Figure 4. Linear predictions for litter growth rate (top row) and litter size (bottom row), separately, in response to local density based on three Bayesian models: A) Food model, B) Cache model, and C) Rattle model. Each model tested a different scenario or experiment. A) Predictions from the Food model (n = 1987) that tested how the interaction between a mother’s local density and her food treatment (control = grey, food add grid with a bucket = red, food add grid with no bucket = blue) affects the relationship between litter growth rate and litter size. B) Predictions from the Cache model (n = 457) that tested how the interaction between a mother’s local density and her cache size in the previous autumn (small = yellow, medium = light green, large = dark green) affects the relationship between litter growth rate and litter size. C)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 5.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1987)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4364181"/>
            <wp:effectExtent b="0" l="0" r="0" t="0"/>
            <wp:docPr descr="Figure 1" title="" id="10" name="Picture"/>
            <a:graphic>
              <a:graphicData uri="http://schemas.openxmlformats.org/drawingml/2006/picture">
                <pic:pic>
                  <pic:nvPicPr>
                    <pic:cNvPr descr="Figures_files/Output/Figures/full_summary.jpeg" id="11" name="Picture"/>
                    <pic:cNvPicPr>
                      <a:picLocks noChangeArrowheads="1" noChangeAspect="1"/>
                    </pic:cNvPicPr>
                  </pic:nvPicPr>
                  <pic:blipFill>
                    <a:blip r:embed="rId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9601200"/>
            <wp:effectExtent b="0" l="0" r="0" t="0"/>
            <wp:docPr descr="Figure 3" title="" id="16" name="Picture"/>
            <a:graphic>
              <a:graphicData uri="http://schemas.openxmlformats.org/drawingml/2006/picture">
                <pic:pic>
                  <pic:nvPicPr>
                    <pic:cNvPr descr="Figures_files/Output/Figures/Posterior_predictions.jpeg" id="17" name="Picture"/>
                    <pic:cNvPicPr>
                      <a:picLocks noChangeArrowheads="1" noChangeAspect="1"/>
                    </pic:cNvPicPr>
                  </pic:nvPicPr>
                  <pic:blipFill>
                    <a:blip r:embed="rId15"/>
                    <a:stretch>
                      <a:fillRect/>
                    </a:stretch>
                  </pic:blipFill>
                  <pic:spPr bwMode="auto">
                    <a:xfrm>
                      <a:off x="0" y="0"/>
                      <a:ext cx="5334000" cy="96012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3556000"/>
            <wp:effectExtent b="0" l="0" r="0" t="0"/>
            <wp:docPr descr="Figure 4" title="" id="19" name="Picture"/>
            <a:graphic>
              <a:graphicData uri="http://schemas.openxmlformats.org/drawingml/2006/picture">
                <pic:pic>
                  <pic:nvPicPr>
                    <pic:cNvPr descr="Figures_files/Output/Figures/Bayesian_predictions.jpe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6858000"/>
            <wp:effectExtent b="0" l="0" r="0" t="0"/>
            <wp:docPr descr="Figure 5" title="" id="22" name="Picture"/>
            <a:graphic>
              <a:graphicData uri="http://schemas.openxmlformats.org/drawingml/2006/picture">
                <pic:pic>
                  <pic:nvPicPr>
                    <pic:cNvPr descr="Figures_files/Output/Figures/covariance_correlation_predictions.jpeg" id="23" name="Picture"/>
                    <pic:cNvPicPr>
                      <a:picLocks noChangeArrowheads="1" noChangeAspect="1"/>
                    </pic:cNvPicPr>
                  </pic:nvPicPr>
                  <pic:blipFill>
                    <a:blip r:embed="rId21"/>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(these are just extra things I thought would be handy to keep for now)</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r radius m radius (red circle) of that squirrel’s location divided by the area (pi*radius^2)/10000 .</w:t>
      </w:r>
    </w:p>
    <w:p>
      <w:pPr>
        <w:pStyle w:val="BodyText"/>
      </w:pPr>
      <w:r>
        <w:t xml:space="preserve">S2. The relationship between litter growth rate (g/day) and litter size, categorized into three difference categories of local density (low = red, medium = green, and high = blue), described using linear models that interacted litter size with density and treatment or food levels. Left: model used control and food add grids (n = 1987) and interacted litter size with density and individual food treatment (control, bucket, or no bucket). Middle: model used all litters with cache size data (n = 457) and interacted litter size with density and the mother’s cache size in the previous year (categorical, either small, medium, or large). Right: Model used litters from control and rattle treatment grids during years of rattle experiments (n = 236) and interacted litter size with density and treatment (control vs. rattle).</w:t>
      </w:r>
    </w:p>
    <w:p>
      <w:pPr>
        <w:pStyle w:val="BodyText"/>
      </w:pPr>
      <w:r>
        <w:t xml:space="preserve">S3.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3556000"/>
            <wp:effectExtent b="0" l="0" r="0" t="0"/>
            <wp:docPr descr="S2" title="" id="28" name="Picture"/>
            <a:graphic>
              <a:graphicData uri="http://schemas.openxmlformats.org/drawingml/2006/picture">
                <pic:pic>
                  <pic:nvPicPr>
                    <pic:cNvPr descr="Figures_files/Output/Figures/lm_full.jpe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8001000"/>
            <wp:effectExtent b="0" l="0" r="0" t="0"/>
            <wp:docPr descr="S3" title="" id="31" name="Picture"/>
            <a:graphic>
              <a:graphicData uri="http://schemas.openxmlformats.org/drawingml/2006/picture">
                <pic:pic>
                  <pic:nvPicPr>
                    <pic:cNvPr descr="Figures_files/Output/Figures/Posterior_distributions.jpeg" id="32" name="Picture"/>
                    <pic:cNvPicPr>
                      <a:picLocks noChangeArrowheads="1" noChangeAspect="1"/>
                    </pic:cNvPicPr>
                  </pic:nvPicPr>
                  <pic:blipFill>
                    <a:blip r:embed="rId30"/>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S3</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jpg" /><Relationship Type="http://schemas.openxmlformats.org/officeDocument/2006/relationships/image" Id="rId12" Target="media/rId12.jpg" /><Relationship Type="http://schemas.openxmlformats.org/officeDocument/2006/relationships/image" Id="rId30" Target="media/rId30.jp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9" Target="media/rId9.jpg" /><Relationship Type="http://schemas.openxmlformats.org/officeDocument/2006/relationships/image" Id="rId27" Target="media/rId27.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2026-09-17T22:03:21Z</dcterms:created>
  <dcterms:modified xsi:type="dcterms:W3CDTF">2026-09-17T22:03:21Z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
  </property>
</Properties>
</file>