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33.jpg" ContentType="image/jpeg"/>
  <Override PartName="/word/media/rId12.jpg" ContentType="image/jpeg"/>
  <Override PartName="/word/media/rId36.jpg" ContentType="image/jpeg"/>
  <Override PartName="/word/media/rId9.jpg" ContentType="image/jpeg"/>
  <Override PartName="/word/media/rId18.jpg" ContentType="image/jpeg"/>
  <Override PartName="/word/media/rId15.jpg" ContentType="image/jpeg"/>
  <Override PartName="/word/media/rId30.jpg" ContentType="image/jpeg"/>
  <Override PartName="/word/media/rId24.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Tables</w:t>
      </w:r>
    </w:p>
    <w:p>
      <w:pPr>
        <w:pStyle w:val="TableCaption"/>
      </w:pPr>
      <w:r>
        <w:t xml:space="preserve">Table 1. Sample size of female red squirrels and litters and the years of those sample sizes, by grid, grid-treatment, and food treatment when applicable (on food-add grids).</w:t>
      </w:r>
    </w:p>
    <w:tbl>
      <w:tblPr>
        <w:tblStyle w:val="Table"/>
        <w:tblW w:type="auto" w:w="0"/>
        <w:tblLook w:firstRow="1" w:lastRow="0" w:firstColumn="0" w:lastColumn="0" w:noHBand="0" w:noVBand="0" w:val="0020"/>
        <w:tblCaption w:val="Table 1. Sample size of female red squirrels and litters and the years of those sample sizes, by grid, grid-treatment, and food treatment when applicable (on food-add grids)."/>
      </w:tblPr>
      <w:tblGrid>
        <w:gridCol w:w="1320"/>
        <w:gridCol w:w="1320"/>
        <w:gridCol w:w="1320"/>
        <w:gridCol w:w="1320"/>
        <w:gridCol w:w="1320"/>
        <w:gridCol w:w="1320"/>
      </w:tblGrid>
      <w:tr>
        <w:trPr>
          <w:tblHeader w:val="on"/>
        </w:trPr>
        <w:tc>
          <w:tcPr/>
          <w:p>
            <w:pPr>
              <w:pStyle w:val="Compact"/>
              <w:jc w:val="left"/>
            </w:pPr>
            <w:r>
              <w:t xml:space="preserve">Grid</w:t>
            </w:r>
          </w:p>
        </w:tc>
        <w:tc>
          <w:tcPr/>
          <w:p>
            <w:pPr>
              <w:pStyle w:val="Compact"/>
              <w:jc w:val="left"/>
            </w:pPr>
            <w:r>
              <w:t xml:space="preserve">Treatment</w:t>
            </w:r>
          </w:p>
        </w:tc>
        <w:tc>
          <w:tcPr/>
          <w:p>
            <w:pPr>
              <w:pStyle w:val="Compact"/>
              <w:jc w:val="left"/>
            </w:pPr>
            <w:r>
              <w:t xml:space="preserve">Food_status</w:t>
            </w:r>
          </w:p>
        </w:tc>
        <w:tc>
          <w:tcPr/>
          <w:p>
            <w:pPr>
              <w:pStyle w:val="Compact"/>
              <w:jc w:val="right"/>
            </w:pPr>
            <w:r>
              <w:t xml:space="preserve">N_females</w:t>
            </w:r>
          </w:p>
        </w:tc>
        <w:tc>
          <w:tcPr/>
          <w:p>
            <w:pPr>
              <w:pStyle w:val="Compact"/>
              <w:jc w:val="right"/>
            </w:pPr>
            <w:r>
              <w:t xml:space="preserve">N_litters</w:t>
            </w:r>
          </w:p>
        </w:tc>
        <w:tc>
          <w:tcPr/>
          <w:p>
            <w:pPr>
              <w:pStyle w:val="Compact"/>
              <w:jc w:val="left"/>
            </w:pPr>
            <w:r>
              <w:t xml:space="preserve">Years</w:t>
            </w:r>
          </w:p>
        </w:tc>
      </w:tr>
      <w:tr>
        <w:tc>
          <w:tcPr/>
          <w:p>
            <w:pPr>
              <w:pStyle w:val="Compact"/>
              <w:jc w:val="left"/>
            </w:pPr>
            <w:r>
              <w:t xml:space="preserve">KL</w:t>
            </w:r>
          </w:p>
        </w:tc>
        <w:tc>
          <w:tcPr/>
          <w:p>
            <w:pPr>
              <w:pStyle w:val="Compact"/>
              <w:jc w:val="left"/>
            </w:pPr>
            <w:r>
              <w:t xml:space="preserve">Control</w:t>
            </w:r>
          </w:p>
        </w:tc>
        <w:tc>
          <w:tcPr/>
          <w:p>
            <w:pPr>
              <w:pStyle w:val="Compact"/>
              <w:jc w:val="left"/>
            </w:pPr>
            <w:r>
              <w:t xml:space="preserve">NA</w:t>
            </w:r>
          </w:p>
        </w:tc>
        <w:tc>
          <w:tcPr/>
          <w:p>
            <w:pPr>
              <w:pStyle w:val="Compact"/>
              <w:jc w:val="right"/>
            </w:pPr>
            <w:r>
              <w:t xml:space="preserve">415</w:t>
            </w:r>
          </w:p>
        </w:tc>
        <w:tc>
          <w:tcPr/>
          <w:p>
            <w:pPr>
              <w:pStyle w:val="Compact"/>
              <w:jc w:val="right"/>
            </w:pPr>
            <w:r>
              <w:t xml:space="preserve">720</w:t>
            </w:r>
          </w:p>
        </w:tc>
        <w:tc>
          <w:tcPr/>
          <w:p>
            <w:pPr>
              <w:pStyle w:val="Compact"/>
              <w:jc w:val="left"/>
            </w:pPr>
            <w:r>
              <w:t xml:space="preserve">1989-2025</w:t>
            </w:r>
          </w:p>
        </w:tc>
      </w:tr>
      <w:tr>
        <w:tc>
          <w:tcPr/>
          <w:p>
            <w:pPr>
              <w:pStyle w:val="Compact"/>
              <w:jc w:val="left"/>
            </w:pPr>
            <w:r>
              <w:t xml:space="preserve">SU</w:t>
            </w:r>
          </w:p>
        </w:tc>
        <w:tc>
          <w:tcPr/>
          <w:p>
            <w:pPr>
              <w:pStyle w:val="Compact"/>
              <w:jc w:val="left"/>
            </w:pPr>
            <w:r>
              <w:t xml:space="preserve">Control</w:t>
            </w:r>
          </w:p>
        </w:tc>
        <w:tc>
          <w:tcPr/>
          <w:p>
            <w:pPr>
              <w:pStyle w:val="Compact"/>
              <w:jc w:val="left"/>
            </w:pPr>
            <w:r>
              <w:t xml:space="preserve">NA</w:t>
            </w:r>
          </w:p>
        </w:tc>
        <w:tc>
          <w:tcPr/>
          <w:p>
            <w:pPr>
              <w:pStyle w:val="Compact"/>
              <w:jc w:val="right"/>
            </w:pPr>
            <w:r>
              <w:t xml:space="preserve">290</w:t>
            </w:r>
          </w:p>
        </w:tc>
        <w:tc>
          <w:tcPr/>
          <w:p>
            <w:pPr>
              <w:pStyle w:val="Compact"/>
              <w:jc w:val="right"/>
            </w:pPr>
            <w:r>
              <w:t xml:space="preserve">490</w:t>
            </w:r>
          </w:p>
        </w:tc>
        <w:tc>
          <w:tcPr/>
          <w:p>
            <w:pPr>
              <w:pStyle w:val="Compact"/>
              <w:jc w:val="left"/>
            </w:pPr>
            <w:r>
              <w:t xml:space="preserve">1989-2025</w:t>
            </w:r>
          </w:p>
        </w:tc>
      </w:tr>
      <w:tr>
        <w:tc>
          <w:tcPr/>
          <w:p>
            <w:pPr>
              <w:pStyle w:val="Compact"/>
              <w:jc w:val="left"/>
            </w:pPr>
            <w:r>
              <w:t xml:space="preserve">AG</w:t>
            </w:r>
          </w:p>
        </w:tc>
        <w:tc>
          <w:tcPr/>
          <w:p>
            <w:pPr>
              <w:pStyle w:val="Compact"/>
              <w:jc w:val="left"/>
            </w:pPr>
            <w:r>
              <w:t xml:space="preserve">Food add</w:t>
            </w:r>
          </w:p>
        </w:tc>
        <w:tc>
          <w:tcPr/>
          <w:p>
            <w:pPr>
              <w:pStyle w:val="Compact"/>
              <w:jc w:val="left"/>
            </w:pPr>
            <w:r>
              <w:t xml:space="preserve">Bucket</w:t>
            </w:r>
          </w:p>
        </w:tc>
        <w:tc>
          <w:tcPr/>
          <w:p>
            <w:pPr>
              <w:pStyle w:val="Compact"/>
              <w:jc w:val="right"/>
            </w:pPr>
            <w:r>
              <w:t xml:space="preserve">176</w:t>
            </w:r>
          </w:p>
        </w:tc>
        <w:tc>
          <w:tcPr/>
          <w:p>
            <w:pPr>
              <w:pStyle w:val="Compact"/>
              <w:jc w:val="right"/>
            </w:pPr>
            <w:r>
              <w:t xml:space="preserve">262</w:t>
            </w:r>
          </w:p>
        </w:tc>
        <w:tc>
          <w:tcPr/>
          <w:p>
            <w:pPr>
              <w:pStyle w:val="Compact"/>
              <w:jc w:val="left"/>
            </w:pPr>
            <w:r>
              <w:t xml:space="preserve">2005-2017</w:t>
            </w:r>
          </w:p>
        </w:tc>
      </w:tr>
      <w:tr>
        <w:tc>
          <w:tcPr/>
          <w:p>
            <w:pPr>
              <w:pStyle w:val="Compact"/>
              <w:jc w:val="left"/>
            </w:pPr>
            <w:r>
              <w:t xml:space="preserve">AG</w:t>
            </w:r>
          </w:p>
        </w:tc>
        <w:tc>
          <w:tcPr/>
          <w:p>
            <w:pPr>
              <w:pStyle w:val="Compact"/>
              <w:jc w:val="left"/>
            </w:pPr>
            <w:r>
              <w:t xml:space="preserve">Food add</w:t>
            </w:r>
          </w:p>
        </w:tc>
        <w:tc>
          <w:tcPr/>
          <w:p>
            <w:pPr>
              <w:pStyle w:val="Compact"/>
              <w:jc w:val="left"/>
            </w:pPr>
            <w:r>
              <w:t xml:space="preserve">No Bucket</w:t>
            </w:r>
          </w:p>
        </w:tc>
        <w:tc>
          <w:tcPr/>
          <w:p>
            <w:pPr>
              <w:pStyle w:val="Compact"/>
              <w:jc w:val="right"/>
            </w:pPr>
            <w:r>
              <w:t xml:space="preserve">134</w:t>
            </w:r>
          </w:p>
        </w:tc>
        <w:tc>
          <w:tcPr/>
          <w:p>
            <w:pPr>
              <w:pStyle w:val="Compact"/>
              <w:jc w:val="right"/>
            </w:pPr>
            <w:r>
              <w:t xml:space="preserve">174</w:t>
            </w:r>
          </w:p>
        </w:tc>
        <w:tc>
          <w:tcPr/>
          <w:p>
            <w:pPr>
              <w:pStyle w:val="Compact"/>
              <w:jc w:val="left"/>
            </w:pPr>
            <w:r>
              <w:t xml:space="preserve">2005-2017</w:t>
            </w:r>
          </w:p>
        </w:tc>
      </w:tr>
      <w:tr>
        <w:tc>
          <w:tcPr/>
          <w:p>
            <w:pPr>
              <w:pStyle w:val="Compact"/>
              <w:jc w:val="left"/>
            </w:pPr>
            <w:r>
              <w:t xml:space="preserve">JO</w:t>
            </w:r>
          </w:p>
        </w:tc>
        <w:tc>
          <w:tcPr/>
          <w:p>
            <w:pPr>
              <w:pStyle w:val="Compact"/>
              <w:jc w:val="left"/>
            </w:pPr>
            <w:r>
              <w:t xml:space="preserve">Food add</w:t>
            </w:r>
          </w:p>
        </w:tc>
        <w:tc>
          <w:tcPr/>
          <w:p>
            <w:pPr>
              <w:pStyle w:val="Compact"/>
              <w:jc w:val="left"/>
            </w:pPr>
            <w:r>
              <w:t xml:space="preserve">Bucket</w:t>
            </w:r>
          </w:p>
        </w:tc>
        <w:tc>
          <w:tcPr/>
          <w:p>
            <w:pPr>
              <w:pStyle w:val="Compact"/>
              <w:jc w:val="right"/>
            </w:pPr>
            <w:r>
              <w:t xml:space="preserve">72</w:t>
            </w:r>
          </w:p>
        </w:tc>
        <w:tc>
          <w:tcPr/>
          <w:p>
            <w:pPr>
              <w:pStyle w:val="Compact"/>
              <w:jc w:val="right"/>
            </w:pPr>
            <w:r>
              <w:t xml:space="preserve">112</w:t>
            </w:r>
          </w:p>
        </w:tc>
        <w:tc>
          <w:tcPr/>
          <w:p>
            <w:pPr>
              <w:pStyle w:val="Compact"/>
              <w:jc w:val="left"/>
            </w:pPr>
            <w:r>
              <w:t xml:space="preserve">2007-2012</w:t>
            </w:r>
          </w:p>
        </w:tc>
      </w:tr>
      <w:tr>
        <w:tc>
          <w:tcPr/>
          <w:p>
            <w:pPr>
              <w:pStyle w:val="Compact"/>
              <w:jc w:val="left"/>
            </w:pPr>
            <w:r>
              <w:t xml:space="preserve">JO</w:t>
            </w:r>
          </w:p>
        </w:tc>
        <w:tc>
          <w:tcPr/>
          <w:p>
            <w:pPr>
              <w:pStyle w:val="Compact"/>
              <w:jc w:val="left"/>
            </w:pPr>
            <w:r>
              <w:t xml:space="preserve">Food add</w:t>
            </w:r>
          </w:p>
        </w:tc>
        <w:tc>
          <w:tcPr/>
          <w:p>
            <w:pPr>
              <w:pStyle w:val="Compact"/>
              <w:jc w:val="left"/>
            </w:pPr>
            <w:r>
              <w:t xml:space="preserve">No Bucket</w:t>
            </w:r>
          </w:p>
        </w:tc>
        <w:tc>
          <w:tcPr/>
          <w:p>
            <w:pPr>
              <w:pStyle w:val="Compact"/>
              <w:jc w:val="right"/>
            </w:pPr>
            <w:r>
              <w:t xml:space="preserve">68</w:t>
            </w:r>
          </w:p>
        </w:tc>
        <w:tc>
          <w:tcPr/>
          <w:p>
            <w:pPr>
              <w:pStyle w:val="Compact"/>
              <w:jc w:val="right"/>
            </w:pPr>
            <w:r>
              <w:t xml:space="preserve">87</w:t>
            </w:r>
          </w:p>
        </w:tc>
        <w:tc>
          <w:tcPr/>
          <w:p>
            <w:pPr>
              <w:pStyle w:val="Compact"/>
              <w:jc w:val="left"/>
            </w:pPr>
            <w:r>
              <w:t xml:space="preserve">2007-2014</w:t>
            </w:r>
          </w:p>
        </w:tc>
      </w:tr>
      <w:tr>
        <w:tc>
          <w:tcPr/>
          <w:p>
            <w:pPr>
              <w:pStyle w:val="Compact"/>
              <w:jc w:val="left"/>
            </w:pPr>
            <w:r>
              <w:t xml:space="preserve">LL</w:t>
            </w:r>
          </w:p>
        </w:tc>
        <w:tc>
          <w:tcPr/>
          <w:p>
            <w:pPr>
              <w:pStyle w:val="Compact"/>
              <w:jc w:val="left"/>
            </w:pPr>
            <w:r>
              <w:t xml:space="preserve">Food add</w:t>
            </w:r>
          </w:p>
        </w:tc>
        <w:tc>
          <w:tcPr/>
          <w:p>
            <w:pPr>
              <w:pStyle w:val="Compact"/>
              <w:jc w:val="left"/>
            </w:pPr>
            <w:r>
              <w:t xml:space="preserve">Bucket</w:t>
            </w:r>
          </w:p>
        </w:tc>
        <w:tc>
          <w:tcPr/>
          <w:p>
            <w:pPr>
              <w:pStyle w:val="Compact"/>
              <w:jc w:val="right"/>
            </w:pPr>
            <w:r>
              <w:t xml:space="preserve">71</w:t>
            </w:r>
          </w:p>
        </w:tc>
        <w:tc>
          <w:tcPr/>
          <w:p>
            <w:pPr>
              <w:pStyle w:val="Compact"/>
              <w:jc w:val="right"/>
            </w:pPr>
            <w:r>
              <w:t xml:space="preserve">105</w:t>
            </w:r>
          </w:p>
        </w:tc>
        <w:tc>
          <w:tcPr/>
          <w:p>
            <w:pPr>
              <w:pStyle w:val="Compact"/>
              <w:jc w:val="left"/>
            </w:pPr>
            <w:r>
              <w:t xml:space="preserve">2006-2010</w:t>
            </w:r>
          </w:p>
        </w:tc>
      </w:tr>
      <w:tr>
        <w:tc>
          <w:tcPr/>
          <w:p>
            <w:pPr>
              <w:pStyle w:val="Compact"/>
              <w:jc w:val="left"/>
            </w:pPr>
            <w:r>
              <w:t xml:space="preserve">LL</w:t>
            </w:r>
          </w:p>
        </w:tc>
        <w:tc>
          <w:tcPr/>
          <w:p>
            <w:pPr>
              <w:pStyle w:val="Compact"/>
              <w:jc w:val="left"/>
            </w:pPr>
            <w:r>
              <w:t xml:space="preserve">Food add</w:t>
            </w:r>
          </w:p>
        </w:tc>
        <w:tc>
          <w:tcPr/>
          <w:p>
            <w:pPr>
              <w:pStyle w:val="Compact"/>
              <w:jc w:val="left"/>
            </w:pPr>
            <w:r>
              <w:t xml:space="preserve">No Bucket</w:t>
            </w:r>
          </w:p>
        </w:tc>
        <w:tc>
          <w:tcPr/>
          <w:p>
            <w:pPr>
              <w:pStyle w:val="Compact"/>
              <w:jc w:val="right"/>
            </w:pPr>
            <w:r>
              <w:t xml:space="preserve">34</w:t>
            </w:r>
          </w:p>
        </w:tc>
        <w:tc>
          <w:tcPr/>
          <w:p>
            <w:pPr>
              <w:pStyle w:val="Compact"/>
              <w:jc w:val="right"/>
            </w:pPr>
            <w:r>
              <w:t xml:space="preserve">37</w:t>
            </w:r>
          </w:p>
        </w:tc>
        <w:tc>
          <w:tcPr/>
          <w:p>
            <w:pPr>
              <w:pStyle w:val="Compact"/>
              <w:jc w:val="left"/>
            </w:pPr>
            <w:r>
              <w:t xml:space="preserve">2007-2011</w:t>
            </w:r>
          </w:p>
        </w:tc>
      </w:tr>
      <w:tr>
        <w:tc>
          <w:tcPr/>
          <w:p>
            <w:pPr>
              <w:pStyle w:val="Compact"/>
              <w:jc w:val="left"/>
            </w:pPr>
            <w:r>
              <w:t xml:space="preserve">AG</w:t>
            </w:r>
          </w:p>
        </w:tc>
        <w:tc>
          <w:tcPr/>
          <w:p>
            <w:pPr>
              <w:pStyle w:val="Compact"/>
              <w:jc w:val="left"/>
            </w:pPr>
            <w:r>
              <w:t xml:space="preserve">Rattle</w:t>
            </w:r>
          </w:p>
        </w:tc>
        <w:tc>
          <w:tcPr/>
          <w:p>
            <w:pPr>
              <w:pStyle w:val="Compact"/>
              <w:jc w:val="left"/>
            </w:pPr>
            <w:r>
              <w:t xml:space="preserve">NA</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LL</w:t>
            </w:r>
          </w:p>
        </w:tc>
        <w:tc>
          <w:tcPr/>
          <w:p>
            <w:pPr>
              <w:pStyle w:val="Compact"/>
              <w:jc w:val="left"/>
            </w:pPr>
            <w:r>
              <w:t xml:space="preserve">Rattle</w:t>
            </w:r>
          </w:p>
        </w:tc>
        <w:tc>
          <w:tcPr/>
          <w:p>
            <w:pPr>
              <w:pStyle w:val="Compact"/>
              <w:jc w:val="left"/>
            </w:pPr>
            <w:r>
              <w:t xml:space="preserve">NA</w:t>
            </w:r>
          </w:p>
        </w:tc>
        <w:tc>
          <w:tcPr/>
          <w:p>
            <w:pPr>
              <w:pStyle w:val="Compact"/>
              <w:jc w:val="right"/>
            </w:pPr>
            <w:r>
              <w:t xml:space="preserve">10</w:t>
            </w:r>
          </w:p>
        </w:tc>
        <w:tc>
          <w:tcPr/>
          <w:p>
            <w:pPr>
              <w:pStyle w:val="Compact"/>
              <w:jc w:val="right"/>
            </w:pPr>
            <w:r>
              <w:t xml:space="preserve">10</w:t>
            </w:r>
          </w:p>
        </w:tc>
        <w:tc>
          <w:tcPr/>
          <w:p>
            <w:pPr>
              <w:pStyle w:val="Compact"/>
              <w:jc w:val="left"/>
            </w:pPr>
            <w:r>
              <w:t xml:space="preserve">2010-2010</w:t>
            </w:r>
          </w:p>
        </w:tc>
      </w:tr>
      <w:tr>
        <w:tc>
          <w:tcPr/>
          <w:p>
            <w:pPr>
              <w:pStyle w:val="Compact"/>
              <w:jc w:val="left"/>
            </w:pPr>
            <w:r>
              <w:t xml:space="preserve">BT</w:t>
            </w:r>
          </w:p>
        </w:tc>
        <w:tc>
          <w:tcPr/>
          <w:p>
            <w:pPr>
              <w:pStyle w:val="Compact"/>
              <w:jc w:val="left"/>
            </w:pPr>
            <w:r>
              <w:t xml:space="preserve">Rattle</w:t>
            </w:r>
          </w:p>
        </w:tc>
        <w:tc>
          <w:tcPr/>
          <w:p>
            <w:pPr>
              <w:pStyle w:val="Compact"/>
              <w:jc w:val="left"/>
            </w:pPr>
            <w:r>
              <w:t xml:space="preserve">NA</w:t>
            </w:r>
          </w:p>
        </w:tc>
        <w:tc>
          <w:tcPr/>
          <w:p>
            <w:pPr>
              <w:pStyle w:val="Compact"/>
              <w:jc w:val="right"/>
            </w:pPr>
            <w:r>
              <w:t xml:space="preserve">4</w:t>
            </w:r>
          </w:p>
        </w:tc>
        <w:tc>
          <w:tcPr/>
          <w:p>
            <w:pPr>
              <w:pStyle w:val="Compact"/>
              <w:jc w:val="right"/>
            </w:pPr>
            <w:r>
              <w:t xml:space="preserve">4</w:t>
            </w:r>
          </w:p>
        </w:tc>
        <w:tc>
          <w:tcPr/>
          <w:p>
            <w:pPr>
              <w:pStyle w:val="Compact"/>
              <w:jc w:val="left"/>
            </w:pPr>
            <w:r>
              <w:t xml:space="preserve">2010-2010</w:t>
            </w:r>
          </w:p>
        </w:tc>
      </w:tr>
      <w:tr>
        <w:tc>
          <w:tcPr/>
          <w:p>
            <w:pPr>
              <w:pStyle w:val="Compact"/>
              <w:jc w:val="left"/>
            </w:pPr>
            <w:r>
              <w:t xml:space="preserve">JO</w:t>
            </w:r>
          </w:p>
        </w:tc>
        <w:tc>
          <w:tcPr/>
          <w:p>
            <w:pPr>
              <w:pStyle w:val="Compact"/>
              <w:jc w:val="left"/>
            </w:pPr>
            <w:r>
              <w:t xml:space="preserve">Rattle</w:t>
            </w:r>
          </w:p>
        </w:tc>
        <w:tc>
          <w:tcPr/>
          <w:p>
            <w:pPr>
              <w:pStyle w:val="Compact"/>
              <w:jc w:val="left"/>
            </w:pPr>
            <w:r>
              <w:t xml:space="preserve">NA</w:t>
            </w:r>
          </w:p>
        </w:tc>
        <w:tc>
          <w:tcPr/>
          <w:p>
            <w:pPr>
              <w:pStyle w:val="Compact"/>
              <w:jc w:val="right"/>
            </w:pPr>
            <w:r>
              <w:t xml:space="preserve">41</w:t>
            </w:r>
          </w:p>
        </w:tc>
        <w:tc>
          <w:tcPr/>
          <w:p>
            <w:pPr>
              <w:pStyle w:val="Compact"/>
              <w:jc w:val="right"/>
            </w:pPr>
            <w:r>
              <w:t xml:space="preserve">47</w:t>
            </w:r>
          </w:p>
        </w:tc>
        <w:tc>
          <w:tcPr/>
          <w:p>
            <w:pPr>
              <w:pStyle w:val="Compact"/>
              <w:jc w:val="left"/>
            </w:pPr>
            <w:r>
              <w:t xml:space="preserve">2018-2022</w:t>
            </w:r>
          </w:p>
        </w:tc>
      </w:tr>
    </w:tbl>
    <w:p>
      <w:pPr>
        <w:pStyle w:val="BodyText"/>
      </w:pPr>
      <w:r>
        <w:t xml:space="preserve">Figure Captions</w:t>
      </w:r>
    </w:p>
    <w:p>
      <w:pPr>
        <w:pStyle w:val="BodyText"/>
      </w:pPr>
      <w:r>
        <w:t xml:space="preserve">Figure 1. Summary of the annual changes in A) squirrel densities (squirrels/ha) and B) spruce cone production (log cones/tree) over the 37-long study in Kluane, Yukon. Lines representing squirrel densities (panel A) are colored by treatment of the study area (grey = food add, red = food add, fuchsia = rattle playbacks). Dashed vertical lines of the same colors delineate the time frames of each experiment, the food supplementation experiment (red) and the rattle playback experiment (fuchsia). Diamond points along the line representing cone production (panel B) indicates that the associated year was categorized as a mast year. Lines represent annual means and shaded areas represent the standard deviation.</w:t>
      </w:r>
    </w:p>
    <w:p>
      <w:pPr>
        <w:pStyle w:val="BodyText"/>
      </w:pPr>
      <w:r>
        <w:t xml:space="preserve">Figure 2. Raw data from control grids (n = 1210) showing the overall negative trade-off between litter size and litter growth rate (g/day). Linear relationship is shown.</w:t>
      </w:r>
    </w:p>
    <w:p>
      <w:pPr>
        <w:pStyle w:val="BodyText"/>
      </w:pPr>
      <w:r>
        <w:t xml:space="preserve">Figure 3. Best linear unbiased predictors from all three Bayesian models, food (n = 1260), cache (n = 457), and rattle (n = 236), that test how growth rate and litter size respond to local density. After all fixed effects and random effects are accounted for, this is how litter size and growth rate relate to one another in each scenario. Data points represent litters and are colored based on either A) food treatment, B) cache size, or C) rattle treatment. Linear relationships and 95% confidence levels are represented by lines and ellipses, respectively.</w:t>
      </w:r>
    </w:p>
    <w:p>
      <w:pPr>
        <w:pStyle w:val="BodyText"/>
      </w:pPr>
      <w:r>
        <w:t xml:space="preserve">Figure 4.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1260) tested how the interaction between a mother’s local density and her food treatment (control = grey, food add grid with a bucket = red, food add grid with no bucket = blue) affects the relationship between litter growth rate and litter size. The Cache model (n = 457) tested how the interaction between a mother’s local density and her cache size in the previous autumn (small = yellow, medium = light green, large = dark green) affects the relationship between litter growth rate and litter size. The Rattle model (n = 236) tested how the interaction between a mother’s local density and her perceived density treatment (control = grey, rattle playback = violet) affects the relationship between litter growth rate and litter size.</w:t>
      </w:r>
    </w:p>
    <w:p>
      <w:pPr>
        <w:pStyle w:val="BodyText"/>
      </w:pPr>
      <w:r>
        <w:t xml:space="preserve">Figure 5. Linear predictions for litter growth rate (top row) and litter size (bottom row), separately, in response to local density based on four Bayesian models: A) Control model, B) Food model, C) Cache model, and D) Rattle model. Each model tested a different scenario or experiment, with the control model (A) being the base model. B) Predictions from the Food model (n = 1260) tested how the interaction between a mother’s local density and her food treatment (control = grey, food add grid with a bucket = red, food add grid with no bucket = blue) affects the relationship between litter growth rate and litter size. C) Predictions from the Cache model (n = 457) that tested how the interaction between a mother’s local density and her cache size in the previous autumn (small = yellow, medium = light green, large = dark green) affects the relationship between litter growth rate and litter size. D) Predictions from the Rattle model (n = 236) that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3879272"/>
            <wp:effectExtent b="0" l="0" r="0" t="0"/>
            <wp:docPr descr="Figure 1" title="" id="10" name="Picture"/>
            <a:graphic>
              <a:graphicData uri="http://schemas.openxmlformats.org/drawingml/2006/picture">
                <pic:pic>
                  <pic:nvPicPr>
                    <pic:cNvPr descr="Figures_files/Output/Figures/annual_summary.jpeg" id="11" name="Picture"/>
                    <pic:cNvPicPr>
                      <a:picLocks noChangeArrowheads="1" noChangeAspect="1"/>
                    </pic:cNvPicPr>
                  </pic:nvPicPr>
                  <pic:blipFill>
                    <a:blip r:embed="rId9"/>
                    <a:stretch>
                      <a:fillRect/>
                    </a:stretch>
                  </pic:blipFill>
                  <pic:spPr bwMode="auto">
                    <a:xfrm>
                      <a:off x="0" y="0"/>
                      <a:ext cx="5334000" cy="3879272"/>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Figure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10668000"/>
            <wp:effectExtent b="0" l="0" r="0" t="0"/>
            <wp:docPr descr="Figure 3" title="" id="16" name="Picture"/>
            <a:graphic>
              <a:graphicData uri="http://schemas.openxmlformats.org/drawingml/2006/picture">
                <pic:pic>
                  <pic:nvPicPr>
                    <pic:cNvPr descr="Figures_files/Output/Figures/ellipse_predictions.jpeg" id="17" name="Picture"/>
                    <pic:cNvPicPr>
                      <a:picLocks noChangeArrowheads="1" noChangeAspect="1"/>
                    </pic:cNvPicPr>
                  </pic:nvPicPr>
                  <pic:blipFill>
                    <a:blip r:embed="rId15"/>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6858000"/>
            <wp:effectExtent b="0" l="0" r="0" t="0"/>
            <wp:docPr descr="Figure 4" title="" id="19" name="Picture"/>
            <a:graphic>
              <a:graphicData uri="http://schemas.openxmlformats.org/drawingml/2006/picture">
                <pic:pic>
                  <pic:nvPicPr>
                    <pic:cNvPr descr="Figures_files/Output/Figures/covariance_correlation_predictions.jpeg" id="20" name="Picture"/>
                    <pic:cNvPicPr>
                      <a:picLocks noChangeArrowheads="1" noChangeAspect="1"/>
                    </pic:cNvPicPr>
                  </pic:nvPicPr>
                  <pic:blipFill>
                    <a:blip r:embed="rId18"/>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3200400"/>
            <wp:effectExtent b="0" l="0" r="0" t="0"/>
            <wp:docPr descr="Figure 5." title="" id="22" name="Picture"/>
            <a:graphic>
              <a:graphicData uri="http://schemas.openxmlformats.org/drawingml/2006/picture">
                <pic:pic>
                  <pic:nvPicPr>
                    <pic:cNvPr descr="Figures_files/Output/Figures/Bayesian_separate_predictions.jpeg" id="23" name="Picture"/>
                    <pic:cNvPicPr>
                      <a:picLocks noChangeArrowheads="1" noChangeAspect="1"/>
                    </pic:cNvPicPr>
                  </pic:nvPicPr>
                  <pic:blipFill>
                    <a:blip r:embed="rId2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Figures</w:t>
      </w:r>
    </w:p>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BodyText"/>
      </w:pPr>
      <w:r>
        <w:t xml:space="preserve">S2. Summary of density and life history outcomes in response to treatments (n = 2132). A) Local densities (ind/ha) of red squirrels in response to treatment at the grid level, where grids housed either food-add experiments, rattle playback experiments, or were controls. B) Litter growth rate (g/day) and C) litter size in response to treatment of the mother. A mother was either on a control grid, was on a food grid and had a bucket, was on a food grid but did not have a bucket, or was on a rattle playback grid.</w:t>
      </w:r>
    </w:p>
    <w:p>
      <w:pPr>
        <w:pStyle w:val="BodyText"/>
      </w:pPr>
      <w:r>
        <w:t xml:space="preserve">S3. Linear model predictions for the relationship between squirrel litter growth rate (g/day) and litter size as an interaction with three categories of squirrel density (low = red, medium = green, and high = blue). Left column: results from four different models, each using data subset to a different experimental treatment, controls (n = 1290), buckets (n = 479), no buckets (n = 298), and rattles (n = 65). Right column: results from one model that used all litters with cache size data (n = 457) and interacted litter size with density and the mother’s cache size (categorical, either small, medium, or large).</w:t>
      </w:r>
    </w:p>
    <w:p>
      <w:pPr>
        <w:pStyle w:val="BodyText"/>
      </w:pPr>
      <w:r>
        <w:t xml:space="preserve">S4.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S5.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Figure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13335000"/>
            <wp:effectExtent b="0" l="0" r="0" t="0"/>
            <wp:docPr descr="S2" title="" id="28" name="Picture"/>
            <a:graphic>
              <a:graphicData uri="http://schemas.openxmlformats.org/drawingml/2006/picture">
                <pic:pic>
                  <pic:nvPicPr>
                    <pic:cNvPr descr="Figures_files/Output/Figures/treatment_summary.jpeg" id="29" name="Picture"/>
                    <pic:cNvPicPr>
                      <a:picLocks noChangeArrowheads="1" noChangeAspect="1"/>
                    </pic:cNvPicPr>
                  </pic:nvPicPr>
                  <pic:blipFill>
                    <a:blip r:embed="rId27"/>
                    <a:stretch>
                      <a:fillRect/>
                    </a:stretch>
                  </pic:blipFill>
                  <pic:spPr bwMode="auto">
                    <a:xfrm>
                      <a:off x="0" y="0"/>
                      <a:ext cx="5334000" cy="13335000"/>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8206153"/>
            <wp:effectExtent b="0" l="0" r="0" t="0"/>
            <wp:docPr descr="S3" title="" id="31" name="Picture"/>
            <a:graphic>
              <a:graphicData uri="http://schemas.openxmlformats.org/drawingml/2006/picture">
                <pic:pic>
                  <pic:nvPicPr>
                    <pic:cNvPr descr="Figures_files/Output/Figures/lm_full.jpeg" id="32" name="Picture"/>
                    <pic:cNvPicPr>
                      <a:picLocks noChangeArrowheads="1" noChangeAspect="1"/>
                    </pic:cNvPicPr>
                  </pic:nvPicPr>
                  <pic:blipFill>
                    <a:blip r:embed="rId30"/>
                    <a:stretch>
                      <a:fillRect/>
                    </a:stretch>
                  </pic:blipFill>
                  <pic:spPr bwMode="auto">
                    <a:xfrm>
                      <a:off x="0" y="0"/>
                      <a:ext cx="5334000" cy="8206153"/>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3200400"/>
            <wp:effectExtent b="0" l="0" r="0" t="0"/>
            <wp:docPr descr="S4" title="" id="34" name="Picture"/>
            <a:graphic>
              <a:graphicData uri="http://schemas.openxmlformats.org/drawingml/2006/picture">
                <pic:pic>
                  <pic:nvPicPr>
                    <pic:cNvPr descr="Figures_files/Output/Figures/Control_model_full_results.jpe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S4</w:t>
      </w:r>
    </w:p>
    <w:p>
      <w:pPr>
        <w:pStyle w:val="CaptionedFigure"/>
      </w:pPr>
      <w:r>
        <w:drawing>
          <wp:inline>
            <wp:extent cx="5334000" cy="10668000"/>
            <wp:effectExtent b="0" l="0" r="0" t="0"/>
            <wp:docPr descr="S5" title="" id="37" name="Picture"/>
            <a:graphic>
              <a:graphicData uri="http://schemas.openxmlformats.org/drawingml/2006/picture">
                <pic:pic>
                  <pic:nvPicPr>
                    <pic:cNvPr descr="Figures_files/Output/Figures/Posterior_distributions.jpeg" id="38" name="Picture"/>
                    <pic:cNvPicPr>
                      <a:picLocks noChangeArrowheads="1" noChangeAspect="1"/>
                    </pic:cNvPicPr>
                  </pic:nvPicPr>
                  <pic:blipFill>
                    <a:blip r:embed="rId36"/>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t xml:space="preserve">S5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12" Target="media/rId12.jpg" /><Relationship Type="http://schemas.openxmlformats.org/officeDocument/2006/relationships/image" Id="rId36" Target="media/rId36.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 Type="http://schemas.openxmlformats.org/officeDocument/2006/relationships/image" Id="rId30" Target="media/rId30.jpg" /><Relationship Type="http://schemas.openxmlformats.org/officeDocument/2006/relationships/image" Id="rId24" Target="media/rId24.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2026-10-13T17:14:24Z</dcterms:created>
  <dcterms:modified xsi:type="dcterms:W3CDTF">2026-10-13T17:14:24Z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