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3.jpg" ContentType="image/jpeg"/>
  <Override PartName="/word/media/rId12.jpg" ContentType="image/jpeg"/>
  <Override PartName="/word/media/rId36.jpg" ContentType="image/jpeg"/>
  <Override PartName="/word/media/rId9.jpg" ContentType="image/jpeg"/>
  <Override PartName="/word/media/rId18.jpg" ContentType="image/jpeg"/>
  <Override PartName="/word/media/rId15.jpg" ContentType="image/jpeg"/>
  <Override PartName="/word/media/rId30.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34</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2018-2021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41</w:t>
            </w:r>
          </w:p>
        </w:tc>
        <w:tc>
          <w:tcPr/>
          <w:p>
            <w:pPr>
              <w:pStyle w:val="Compact"/>
              <w:jc w:val="right"/>
            </w:pPr>
            <w:r>
              <w:t xml:space="preserve">10</w:t>
            </w:r>
          </w:p>
        </w:tc>
        <w:tc>
          <w:tcPr/>
          <w:p>
            <w:pPr>
              <w:pStyle w:val="Compact"/>
              <w:jc w:val="right"/>
            </w:pPr>
            <w:r>
              <w:t xml:space="preserve">10</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
      <w:pPr>
        <w:pStyle w:val="TableCaption"/>
      </w:pPr>
      <w:r>
        <w:t xml:space="preserve">Table 2. Sample size of juveniles, litters, and female red squirrels, by year, grid, and grid-treatment from 2010 - 2022.</w:t>
      </w:r>
    </w:p>
    <w:tbl>
      <w:tblPr>
        <w:tblStyle w:val="Table"/>
        <w:tblW w:type="auto" w:w="0"/>
        <w:tblLook w:firstRow="1" w:lastRow="0" w:firstColumn="0" w:lastColumn="0" w:noHBand="0" w:noVBand="0" w:val="0020"/>
        <w:tblCaption w:val="Table 2. Sample size of juveniles, litters, and female red squirrels, by year, grid, and grid-treatment from 2010 - 2022."/>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60</w:t>
            </w:r>
          </w:p>
        </w:tc>
        <w:tc>
          <w:tcPr/>
          <w:p>
            <w:pPr>
              <w:pStyle w:val="Compact"/>
              <w:jc w:val="right"/>
            </w:pPr>
            <w:r>
              <w:t xml:space="preserve">16</w:t>
            </w:r>
          </w:p>
        </w:tc>
        <w:tc>
          <w:tcPr/>
          <w:p>
            <w:pPr>
              <w:pStyle w:val="Compact"/>
              <w:jc w:val="right"/>
            </w:pPr>
            <w:r>
              <w:t xml:space="preserve">16</w:t>
            </w:r>
          </w:p>
        </w:tc>
      </w:tr>
      <w:tr>
        <w:tc>
          <w:tcPr/>
          <w:p>
            <w:pPr>
              <w:pStyle w:val="Compact"/>
              <w:jc w:val="right"/>
            </w:pPr>
            <w:r>
              <w:t xml:space="preserve">2010</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79</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49</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Rattle</w:t>
            </w:r>
          </w:p>
        </w:tc>
        <w:tc>
          <w:tcPr/>
          <w:p>
            <w:pPr>
              <w:pStyle w:val="Compact"/>
              <w:jc w:val="right"/>
            </w:pPr>
            <w:r>
              <w:t xml:space="preserve">41</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2011</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64</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2011</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2011</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29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2011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2012</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77</w:t>
            </w:r>
          </w:p>
        </w:tc>
        <w:tc>
          <w:tcPr/>
          <w:p>
            <w:pPr>
              <w:pStyle w:val="Compact"/>
              <w:jc w:val="right"/>
            </w:pPr>
            <w:r>
              <w:t xml:space="preserve">23</w:t>
            </w:r>
          </w:p>
        </w:tc>
        <w:tc>
          <w:tcPr/>
          <w:p>
            <w:pPr>
              <w:pStyle w:val="Compact"/>
              <w:jc w:val="right"/>
            </w:pPr>
            <w:r>
              <w:t xml:space="preserve">23</w:t>
            </w:r>
          </w:p>
        </w:tc>
      </w:tr>
      <w:tr>
        <w:tc>
          <w:tcPr/>
          <w:p>
            <w:pPr>
              <w:pStyle w:val="Compact"/>
              <w:jc w:val="right"/>
            </w:pPr>
            <w:r>
              <w:t xml:space="preserve">2012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104</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2012</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72</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2013</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90</w:t>
            </w:r>
          </w:p>
        </w:tc>
        <w:tc>
          <w:tcPr/>
          <w:p>
            <w:pPr>
              <w:pStyle w:val="Compact"/>
              <w:jc w:val="right"/>
            </w:pPr>
            <w:r>
              <w:t xml:space="preserve">31</w:t>
            </w:r>
          </w:p>
        </w:tc>
        <w:tc>
          <w:tcPr/>
          <w:p>
            <w:pPr>
              <w:pStyle w:val="Compact"/>
              <w:jc w:val="right"/>
            </w:pPr>
            <w:r>
              <w:t xml:space="preserve">31</w:t>
            </w:r>
          </w:p>
        </w:tc>
      </w:tr>
      <w:tr>
        <w:tc>
          <w:tcPr/>
          <w:p>
            <w:pPr>
              <w:pStyle w:val="Compact"/>
              <w:jc w:val="right"/>
            </w:pPr>
            <w:r>
              <w:t xml:space="preserve">2013</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128</w:t>
            </w:r>
          </w:p>
        </w:tc>
        <w:tc>
          <w:tcPr/>
          <w:p>
            <w:pPr>
              <w:pStyle w:val="Compact"/>
              <w:jc w:val="right"/>
            </w:pPr>
            <w:r>
              <w:t xml:space="preserve">41</w:t>
            </w:r>
          </w:p>
        </w:tc>
        <w:tc>
          <w:tcPr/>
          <w:p>
            <w:pPr>
              <w:pStyle w:val="Compact"/>
              <w:jc w:val="right"/>
            </w:pPr>
            <w:r>
              <w:t xml:space="preserve">41</w:t>
            </w:r>
          </w:p>
        </w:tc>
      </w:tr>
      <w:tr>
        <w:tc>
          <w:tcPr/>
          <w:p>
            <w:pPr>
              <w:pStyle w:val="Compact"/>
              <w:jc w:val="right"/>
            </w:pPr>
            <w:r>
              <w:t xml:space="preserve">2013</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2014</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2014</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143</w:t>
            </w:r>
          </w:p>
        </w:tc>
        <w:tc>
          <w:tcPr/>
          <w:p>
            <w:pPr>
              <w:pStyle w:val="Compact"/>
              <w:jc w:val="right"/>
            </w:pPr>
            <w:r>
              <w:t xml:space="preserve">42</w:t>
            </w:r>
          </w:p>
        </w:tc>
        <w:tc>
          <w:tcPr/>
          <w:p>
            <w:pPr>
              <w:pStyle w:val="Compact"/>
              <w:jc w:val="right"/>
            </w:pPr>
            <w:r>
              <w:t xml:space="preserve">42</w:t>
            </w:r>
          </w:p>
        </w:tc>
      </w:tr>
      <w:tr>
        <w:tc>
          <w:tcPr/>
          <w:p>
            <w:pPr>
              <w:pStyle w:val="Compact"/>
              <w:jc w:val="right"/>
            </w:pPr>
            <w:r>
              <w:t xml:space="preserve">2014</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21</w:t>
            </w:r>
          </w:p>
        </w:tc>
        <w:tc>
          <w:tcPr/>
          <w:p>
            <w:pPr>
              <w:pStyle w:val="Compact"/>
              <w:jc w:val="right"/>
            </w:pPr>
            <w:r>
              <w:t xml:space="preserve">21</w:t>
            </w:r>
          </w:p>
        </w:tc>
      </w:tr>
      <w:tr>
        <w:tc>
          <w:tcPr/>
          <w:p>
            <w:pPr>
              <w:pStyle w:val="Compact"/>
              <w:jc w:val="right"/>
            </w:pPr>
            <w:r>
              <w:t xml:space="preserve">2015</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100</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2015</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55</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2015</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127</w:t>
            </w:r>
          </w:p>
        </w:tc>
        <w:tc>
          <w:tcPr/>
          <w:p>
            <w:pPr>
              <w:pStyle w:val="Compact"/>
              <w:jc w:val="right"/>
            </w:pPr>
            <w:r>
              <w:t xml:space="preserve">44</w:t>
            </w:r>
          </w:p>
        </w:tc>
        <w:tc>
          <w:tcPr/>
          <w:p>
            <w:pPr>
              <w:pStyle w:val="Compact"/>
              <w:jc w:val="right"/>
            </w:pPr>
            <w:r>
              <w:t xml:space="preserve">44</w:t>
            </w:r>
          </w:p>
        </w:tc>
      </w:tr>
      <w:tr>
        <w:tc>
          <w:tcPr/>
          <w:p>
            <w:pPr>
              <w:pStyle w:val="Compact"/>
              <w:jc w:val="right"/>
            </w:pPr>
            <w:r>
              <w:t xml:space="preserve">2016</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2016</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85</w:t>
            </w:r>
          </w:p>
        </w:tc>
        <w:tc>
          <w:tcPr/>
          <w:p>
            <w:pPr>
              <w:pStyle w:val="Compact"/>
              <w:jc w:val="right"/>
            </w:pPr>
            <w:r>
              <w:t xml:space="preserve">30</w:t>
            </w:r>
          </w:p>
        </w:tc>
        <w:tc>
          <w:tcPr/>
          <w:p>
            <w:pPr>
              <w:pStyle w:val="Compact"/>
              <w:jc w:val="right"/>
            </w:pPr>
            <w:r>
              <w:t xml:space="preserve">30</w:t>
            </w:r>
          </w:p>
        </w:tc>
      </w:tr>
      <w:tr>
        <w:tc>
          <w:tcPr/>
          <w:p>
            <w:pPr>
              <w:pStyle w:val="Compact"/>
              <w:jc w:val="right"/>
            </w:pPr>
            <w:r>
              <w:t xml:space="preserve">2016</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2017</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2017</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177</w:t>
            </w:r>
          </w:p>
        </w:tc>
        <w:tc>
          <w:tcPr/>
          <w:p>
            <w:pPr>
              <w:pStyle w:val="Compact"/>
              <w:jc w:val="right"/>
            </w:pPr>
            <w:r>
              <w:t xml:space="preserve">59</w:t>
            </w:r>
          </w:p>
        </w:tc>
        <w:tc>
          <w:tcPr/>
          <w:p>
            <w:pPr>
              <w:pStyle w:val="Compact"/>
              <w:jc w:val="right"/>
            </w:pPr>
            <w:r>
              <w:t xml:space="preserve">59</w:t>
            </w:r>
          </w:p>
        </w:tc>
      </w:tr>
      <w:tr>
        <w:tc>
          <w:tcPr/>
          <w:p>
            <w:pPr>
              <w:pStyle w:val="Compact"/>
              <w:jc w:val="right"/>
            </w:pPr>
            <w:r>
              <w:t xml:space="preserve">2017</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111</w:t>
            </w:r>
          </w:p>
        </w:tc>
        <w:tc>
          <w:tcPr/>
          <w:p>
            <w:pPr>
              <w:pStyle w:val="Compact"/>
              <w:jc w:val="right"/>
            </w:pPr>
            <w:r>
              <w:t xml:space="preserve">39</w:t>
            </w:r>
          </w:p>
        </w:tc>
        <w:tc>
          <w:tcPr/>
          <w:p>
            <w:pPr>
              <w:pStyle w:val="Compact"/>
              <w:jc w:val="right"/>
            </w:pPr>
            <w:r>
              <w:t xml:space="preserve">39</w:t>
            </w:r>
          </w:p>
        </w:tc>
      </w:tr>
      <w:tr>
        <w:tc>
          <w:tcPr/>
          <w:p>
            <w:pPr>
              <w:pStyle w:val="Compact"/>
              <w:jc w:val="right"/>
            </w:pPr>
            <w:r>
              <w:t xml:space="preserve">2018</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2018</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102</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2018</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40</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2018</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2019</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2019</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17</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2019</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50</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2019</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7</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2020</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2020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2021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2021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2021</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2021</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2022</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2022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2022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18</w:t>
            </w:r>
          </w:p>
        </w:tc>
        <w:tc>
          <w:tcPr/>
          <w:p>
            <w:pPr>
              <w:pStyle w:val="Compact"/>
              <w:jc w:val="right"/>
            </w:pPr>
            <w:r>
              <w:t xml:space="preserve">5</w:t>
            </w:r>
          </w:p>
        </w:tc>
        <w:tc>
          <w:tcPr/>
          <w:p>
            <w:pPr>
              <w:pStyle w:val="Compact"/>
              <w:jc w:val="right"/>
            </w:pPr>
            <w:r>
              <w:t xml:space="preserve">5</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1190), cache (n = 457), and rattle (n = 236),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1190)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1190) tested how the interaction between a mother’s local density and her food treatment (control = grey, food add grid with a bucket = red, food add grid with no bucket = blue) affects the relationship between litter growth rate and litter size. C) Predictions from the Cache model (n = 457) that tested how the interaction between a mother’s local density and her cache size in the previous autumn (small = yellow, medium = light green, large = dark green) affects the relationship between litter growth rate and litter size. D)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Figure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Figure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Figure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2062). A) Local densities (ind/ha) of red squirrels in response to treatment at the grid level, where grids housed either food-add experiments, rattle playback experiments, or were controls. B) Litter growth rate (g/day) and C) litter size in response to treatment of the mother. A mother was either on a control grid, was on a food grid and had a bucket, was on a food grid but did not have a bucket, or was on a rattle playback grid.</w:t>
      </w:r>
    </w:p>
    <w:p>
      <w:pPr>
        <w:pStyle w:val="BodyText"/>
      </w:pPr>
      <w:r>
        <w:t xml:space="preserve">S3.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228), and rattles (n = 65). Right column: results from one model that used all litters with cache size data (n = 457) and interacted litter size with density and the mother’s cache size (categorical, either small, medium, or large).</w:t>
      </w:r>
    </w:p>
    <w:p>
      <w:pPr>
        <w:pStyle w:val="BodyText"/>
      </w:pPr>
      <w:r>
        <w:t xml:space="preserve">S4.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S5.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Figure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8206153"/>
            <wp:effectExtent b="0" l="0" r="0" t="0"/>
            <wp:docPr descr="S3" title="" id="31" name="Picture"/>
            <a:graphic>
              <a:graphicData uri="http://schemas.openxmlformats.org/drawingml/2006/picture">
                <pic:pic>
                  <pic:nvPicPr>
                    <pic:cNvPr descr="Figures_files/Output/Figures/lm_full.jpeg" id="32" name="Picture"/>
                    <pic:cNvPicPr>
                      <a:picLocks noChangeArrowheads="1" noChangeAspect="1"/>
                    </pic:cNvPicPr>
                  </pic:nvPicPr>
                  <pic:blipFill>
                    <a:blip r:embed="rId30"/>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3200400"/>
            <wp:effectExtent b="0" l="0" r="0" t="0"/>
            <wp:docPr descr="S4" title="" id="34" name="Picture"/>
            <a:graphic>
              <a:graphicData uri="http://schemas.openxmlformats.org/drawingml/2006/picture">
                <pic:pic>
                  <pic:nvPicPr>
                    <pic:cNvPr descr="Figures_files/Output/Figures/Control_model_full_results.jpe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10668000"/>
            <wp:effectExtent b="0" l="0" r="0" t="0"/>
            <wp:docPr descr="S5" title="" id="37" name="Picture"/>
            <a:graphic>
              <a:graphicData uri="http://schemas.openxmlformats.org/drawingml/2006/picture">
                <pic:pic>
                  <pic:nvPicPr>
                    <pic:cNvPr descr="Figures_files/Output/Figures/Posterior_distributions.jpeg" id="38" name="Picture"/>
                    <pic:cNvPicPr>
                      <a:picLocks noChangeArrowheads="1" noChangeAspect="1"/>
                    </pic:cNvPicPr>
                  </pic:nvPicPr>
                  <pic:blipFill>
                    <a:blip r:embed="rId36"/>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S5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12" Target="media/rId12.jpg" /><Relationship Type="http://schemas.openxmlformats.org/officeDocument/2006/relationships/image" Id="rId36" Target="media/rId36.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2026-10-14T18:10:55Z</dcterms:created>
  <dcterms:modified xsi:type="dcterms:W3CDTF">2026-10-14T18:10:55Z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