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w:t>
      </w:r>
    </w:p>
    <w:p>
      <w:pPr>
        <w:pStyle w:val="Author"/>
      </w:pPr>
      <w:r>
        <w:t xml:space="preserve">Juliana Balluffi-Fry</w:t>
      </w:r>
    </w:p>
    <w:p>
      <w:pPr>
        <w:pStyle w:val="Date"/>
      </w:pPr>
      <w:r>
        <w:t xml:space="preserve">2026-09-17</w:t>
      </w:r>
    </w:p>
    <w:p>
      <w:pPr>
        <w:pStyle w:val="FirstParagraph"/>
      </w:pPr>
      <w:r>
        <w:t xml:space="preserve">Female life history data collection</w:t>
      </w:r>
    </w:p>
    <w:p>
      <w:pPr>
        <w:pStyle w:val="BodyText"/>
      </w:pPr>
      <w:r>
        <w:t xml:space="preserve">Red squirrels are polygamous with a scramble competition mating system and females are thought to be spontaneous ovulators (Lane et al., 2009). The timing of estrous at our study site is variable and depends upon squirrel densities and spruce cone production in the previous year (Boutin et al., 2006; McAdam et al., 2019; Dantzer et al., 2020). Females typically produce one successful litter in each year except in spruce mast years (Boutin et al., 2006), although if the first litter fails in a non-mast or mast year, females will often attempt a second litter.</w:t>
      </w:r>
    </w:p>
    <w:p>
      <w:pPr>
        <w:pStyle w:val="BodyText"/>
      </w:pPr>
      <w:r>
        <w:t xml:space="preserve">To monitor female reproduction, we live-trapped females prior to and during pregnancy to palpate their abdomens (to detect fetuses) and track their pregnancies through lactation (Dantzer et al., 2020). When pregnant females were estimated to be within five days of their parturition date or when they were lactating, we fitted them with a very high frequency (VHF) radio collar. Once post-partum (parturition identified by large body mass loss or expressing milk from nipples), using the VHF collar, we tracked the female to her nest. We extracted the pups from the nest to determine litter size, and individual sex and weight. We weighed individual pups to the nearest 0.1 g and gave them a unique ear notch to later identify them within the litter and collect a tissue sample for subsequent DNA parentage analyses (REF Gunn et al., 2005). Approximately 25 days after the first visit, we re-located the nest and retrieved the pups. Now developed enough, we ear tagged the pups with uniquely labeled metal ear tags and weighed them again to the nearest 0.1 g. To calculate juvenile growth rate, we subtracted the weight at the first visit from the weight at the second weight and divided the difference by the number of days in between visits. Juvenile growth during this time period is linear (REF McAdam &amp; Boutin, 2003 J Evol Biol). Some litters did not survive to the second nest entry, so we could not obtain growth rates for all litters. For this analysis we only used data from a mother’s first litter on a given year to be consistent with previous studies (REF e.g., Dantzer et al., 2013; McAdam et al., 2019; Petrullo et al., 2023). We removed cases where the number of days in between weight measurements was less than 5, the first weight was greater than 50 g, or the second weight was greater than 100 g because these are characteristics of instances when a nest was initially sampled too late after parturition to be compared (REF Fisher et al., 2017). The final life history data we used in our analyses were litter parturition date (Julian Day), litter size, litter average growth rate, and litter sex ratio (proportion pups being male).</w:t>
      </w:r>
    </w:p>
    <w:p>
      <w:pPr>
        <w:pStyle w:val="BodyText"/>
      </w:pPr>
      <w:r>
        <w:t xml:space="preserve">We had a total sample size of 1198 litters from 698 mothers collected from squirrels on two adjacent study areas from 1989-2025. We also collected the parturition dates of all litters because litters born later in the year are usually smaller in size and exhibit a slower growth rate (REF). If a litter’s parturition date was unknown (n = 60 litters), e.g., the first nest visit occurred later than normal, we estimated it by subtracting the number of days from the first nest visit to when the pup size would have been the average birth weight of 8 g via the average growth rate of 1.8 g per day (i.e., birth date = date 1 - (weight 1 - 8)/1.8) (REF). Mother age and birth year can also influence life history outcomes (REF). Therefore, we also collected the mothers’ birth years from the study’s birth record data. If a mother’s birth year was unknown (n = 251 out of 698 total mothers), i.e., we do not have a birth record of the mother, we assumed it to be the year before she was first entered into the study.</w:t>
      </w:r>
    </w:p>
    <w:p>
      <w:pPr>
        <w:pStyle w:val="BodyText"/>
      </w:pPr>
      <w:r>
        <w:t xml:space="preserve">Estimates of environmental- and individual-level food availability</w:t>
      </w:r>
    </w:p>
    <w:p>
      <w:pPr>
        <w:pStyle w:val="BodyText"/>
      </w:pPr>
      <w:r>
        <w:t xml:space="preserve">We assessed the effects of food availability on the co-variance between litter size and offspring growth using 1) environmental (ambient) measures of spruce cone production by counting spruce cones on trees in the late summer of each year from 1989 - 2025 and 2) estimating the number of spruce cones cached underground by individual squirrels in the autumn of each year from 2008 - 2025. To assess annual cone production, we used a standardized procedure (REF) where we used binoculars to count the number of newly mature cones on around 100 spruce trees systematically distributed across each study area for each of the 7 study areas in the late summer before squirrels started clipping and caching the cones (typically late July or early August). We log transformed the tree cone counts and took the average for every study area every year (REF LaMontagne and Boutin 2007). There were 4 study area-year combinations which did not have spruce cone production assessments. In such cases, we gave those study areas the average tree cone production of all the study areas measured that year. Based on cone count data, we categorized years as being</w:t>
      </w:r>
      <w:r>
        <w:t xml:space="preserve"> </w:t>
      </w:r>
      <w:r>
        <w:t xml:space="preserve">‘non-mast years’</w:t>
      </w:r>
      <w:r>
        <w:t xml:space="preserve">, i.e., having typical amounts of cone production, or as being</w:t>
      </w:r>
      <w:r>
        <w:t xml:space="preserve"> </w:t>
      </w:r>
      <w:r>
        <w:t xml:space="preserve">‘mast years’</w:t>
      </w:r>
      <w:r>
        <w:t xml:space="preserve">, when there were an exponentially high amount of cones produced that autumn. Over the course of this long-term study, we categorized 1993, 1998, 2005, 2010, 2014, 2019, 2022 as mast years. In non-mast years, average cone production was 20 cones/tree, while in mast years it was 330 cones/tree.</w:t>
      </w:r>
    </w:p>
    <w:p>
      <w:pPr>
        <w:pStyle w:val="BodyText"/>
      </w:pPr>
      <w:r>
        <w:t xml:space="preserve">To assess spruce cone cache sizes of individual squirrels, we used a standardized method to count the number of cones cached on middens owned by squirrels on the two control study areas (KL/SU) each September starting in 2007 (ADD DETAILS, REF Haines et al. 2022). We log transformed the cached cone counts and paired them to litters born the year following a mother’s midden cone count. In total, 454 litters from 283 females had associated cache sizes.</w:t>
      </w:r>
    </w:p>
    <w:p>
      <w:pPr>
        <w:pStyle w:val="BodyText"/>
      </w:pPr>
      <w:r>
        <w:t xml:space="preserve">Density manipulation using long-term food supplementation</w:t>
      </w:r>
    </w:p>
    <w:p>
      <w:pPr>
        <w:pStyle w:val="BodyText"/>
      </w:pPr>
      <w:r>
        <w:t xml:space="preserve">We experimentally increased actual squirrel densities using long-term food supplementation (i.e., food add) on three separate study areas (AG, JO, LL) that were distant from the other two control study areas (KL/SU). Food supplementation started in the Autumn of 2005 and continued until Spring of 2017, though the exact start and end dates of the food supplementation varied by study area (Table 1). To provide food supplementation to individual squirrels, we hung a bucket containing approximately 1 KG of all natural peanut butter (no salt or sugar added) between two trees at the center of middens. Squirrels readily consume peanut butter but are unable to cache it underground. Peanut butter was restocked approximately every 6 weeks from autumn to spring and/or until females were no longer lactating to the food add as close to ad libitum as possible. Territorial behavior by squirrels ensured that buckets were only accessed by the owners of the midden (REF van Kesteren et al. 2019 PBZ), allowing us to perform an individual food supplementation experiment. As densities on the food-add grids increased over time (Fig. X), some squirrels established new middens without buckets or supplemental food. This provided us with an opportunity to examine how increased density (caused by long-term food supplementation) with or without access to additional food affected their life history traits. In total, we monitored the effects of increased density and supplemental food on litter size and growth rate from 479 litters from 319 mothers and the effects of increased density without access to supplemental food from 228 litters from 185 females.</w:t>
      </w:r>
    </w:p>
    <w:p>
      <w:pPr>
        <w:pStyle w:val="BodyText"/>
      </w:pPr>
      <w:r>
        <w:t xml:space="preserve">Acoustic density manipulation</w:t>
      </w:r>
    </w:p>
    <w:p>
      <w:pPr>
        <w:pStyle w:val="BodyText"/>
      </w:pPr>
      <w:r>
        <w:t xml:space="preserve">Food and density are inherently correlated with one another in this system (REF Dantzer et al., 2020). To test whether acoustic cues of higher squirrel densities without additional food affected the life history traits of squirrels, we experimentally manipulated acoustic densities of squirrels by exposing them to recordings of squirrel rattles on four study areas over six years. We have previously shown that these acoustic playbacks of rattles influence the behavioral and life history traits of squirrels (REF Dantzer et al., 2012, 2013). The playback experiments were conducted from 2018 to 2022 on two study areas (JO/BT), in addition to a separate study in 2010 that occurred on three separate study areas (AG/BT/LL) that we have previously published (REF Dantzer et al. 2013). Squirrels were exposed to either rattle playbacks (2010, 2018 - 2022) or, in some years, boreal chickadee (Poecile hudsonicus) playbacks as a control (2010, 2018 - 2021). We chose boreal chickadee vocalizations as a control stimulus because they are a year-round resident on our study areas that is not known to be a predatory species of red squirrels. Playback speakers turned on at dawn and turned off at dusk and were adjusted so that they broadcast a chickadee call or rattle approximately every 7 min. This was because our previous studies (REF Dantzer et al., 2012; Siracusa et al.) suggest that squirrels emit rattles approximately once every 7-10 min during the active part of their day. Sound pressure levels of the speakers were standardized to broadcast a call at 100 dB from 1 m away from the speaker by using a sound pressure meter (Radio Shack Digital Sound Level Meter #33-2055).</w:t>
      </w:r>
    </w:p>
    <w:p>
      <w:pPr>
        <w:pStyle w:val="BodyText"/>
      </w:pPr>
      <w:r>
        <w:t xml:space="preserve">Rattles contain individually distinct signatures, which allowed us to increase the number of unique rattles that females heard during reproduction. We simulated an increase of 4 additional neighboring squirrels by exposing them to audio playbacks of rattles recorded from 4 different squirrels (i.e., each playback speaker played back 4 rattles from 2 females and 2 males). We exposed other squirrels to 4 different chickadee vocalizations. We used x different rattle recordings and x different chickadee recordings (i.e., we did not use the same recordings at each speaker), with each speaker broadcasting a unique combination of rattles or chickadee laybacks. Rattles used in the playbacks were recorded from squirrels that were unknown to treated squirrels as they were recorded &gt;500 m away from the study areas used in this experiment. Methods for recording the rattles are discussed elsewhere (10, 45). We used publicly available recordings of boreal chickadee vocalizations from different commercial sources (www.xenocanto.org, Cornell Lab of Ornithology) to develop 17 unique combinations of 4 chickadee vocalizations.</w:t>
      </w:r>
      <w:r>
        <w:t xml:space="preserve"> </w:t>
      </w:r>
      <w:r>
        <w:t xml:space="preserve">Playback treatments were deployed in one of two ways. In 2010, we treated individual females with playback treatments, setting up two speakers at the periphery (placed in random cardinal direction, ~15 m away from the center of the midden) of their territory as soon as they were confirmed to be pregnant (mid-gestation) and until 5 days post-parturition (approximately 34 continuous days). In this year, some females on the same study area were treated with either rattle or chickadee playbacks, with the restriction that females exposed to chickadee playbacks had to be &gt;150 m away from a squirrel exposed to rattle playbacks. We did this to attempt to make the chickadee playback females out of hearing distance of the rattle playbacks (30, 45). Squirrel or chickadee playbacks were broadcast from an MP3 player (Coby MP-300, Lake Success, NY, USA) through two separate speakers (two different alternating vocalizations were broadcast through each speaker: Altec Lansing Orbit, San Diego, CA, USA).</w:t>
      </w:r>
    </w:p>
    <w:p>
      <w:pPr>
        <w:pStyle w:val="SourceCode"/>
      </w:pPr>
      <w:r>
        <w:rPr>
          <w:rStyle w:val="VerbatimChar"/>
        </w:rPr>
        <w:t xml:space="preserve">In other years (2018-2022), we set up bespoke speakers that automatically turned on and off at dusk/dawn. Instead of placing these speakers around female middens as we did in 2010, we placed speakers at specific locations on our study areas (see map of speakers: Fig x). Speakers on some study areas only broadcast rattle playbacks whereas other study areas in some years only had chickadee playbacks. As such, some study areas were “rattle treatments” and others were “playback treatments”. </w:t>
      </w:r>
    </w:p>
    <w:p>
      <w:pPr>
        <w:pStyle w:val="FirstParagraph"/>
      </w:pPr>
      <w:r>
        <w:t xml:space="preserve">Below we describe how we ended up combining the chickadee females and true control females (not exposed to any playback) because there were no differences in life history traits between chickadee playback and true control females (REF Dantzer et al., 2013). In total, 66 litters from 60 females were from rattle playback areas, 24 litters from 24 females experienced chickadee playbacks, and 148 litters from 135 females were from control areas during those same years.</w:t>
      </w:r>
    </w:p>
    <w:p>
      <w:pPr>
        <w:pStyle w:val="BodyText"/>
      </w:pPr>
      <w:r>
        <w:t xml:space="preserve">Local Density</w:t>
      </w:r>
    </w:p>
    <w:p>
      <w:pPr>
        <w:pStyle w:val="BodyText"/>
      </w:pPr>
      <w:r>
        <w:t xml:space="preserve">To estimate conspecific densities (squirrels/ha) that breeding females experienced, we identified the total number of squirrels defending a territory each spring in May of each year. A squirrel was considered the owner of a midden if it was regularly trapped there and displayed territorial behaviours while on the midden (e.g., rattles or caching spruce cones). Because squirrels are diurnal, visually/acoustically conspicuous, and easily live-trapped, we were able to completely enumerate all squirrels on the study areas. Occasionally, squirrels may own multiple middens; in these scenarios, we only used the squirrel’s primary midden, which was defined as the location where the squirrel most often occurred (observed or captured at that location) and where its spruce cone cache was located. In total, there were 12331 census records of 5128 known squirrels, across the 7 study areas and over the 38 year study. There were 301 census records that had a known squirrel but were missing a location. In these cases, we used the average coordinates of the locations where the squirrel was trapped that spring (April - June) as their census location.</w:t>
      </w:r>
    </w:p>
    <w:p>
      <w:pPr>
        <w:pStyle w:val="BodyText"/>
      </w:pPr>
      <w:r>
        <w:t xml:space="preserve">To calculate local density for each mother, we counted how many squirrels resided within a 130 m radius of her midden location (see figure S1 for a visual example of real spatial locations) and divided this count by the circle area, or 5.3 hectares. We chose this 130 m radius as this is likely the farthest distance that squirrels can hear the territorial vocalizations of other squirrels (REF Smith, 1968, 1978) and it has proven to be an ecologically-relevant estimate of the acoustic neighborhood experienced red squirrels that influences their behavioural or life history traits (REF Dantzer et al., 2012; Fisher et al., 2017; Siracusa et al., 2021). The edges of trapping areas naturally had lower squirrel densities because study areas were surrounded by habitat unsuitable for squirrels, such as marshes, aspen forests, or the Alaska highway (REF Martinig et al. 2020). Therefore, we did not extrapolate squirrel densities outside of study area boundaries. Food supplementation caused an increase in local density over time.</w:t>
      </w:r>
    </w:p>
    <w:p>
      <w:pPr>
        <w:pStyle w:val="BodyText"/>
      </w:pPr>
      <w:r>
        <w:t xml:space="preserve">Anticipated increases in density caused of food supplementation were reflected by this estimate for local density. In 2005, when food supplementation began, average local densities were similar between control grids (1.1 ± 0.4 squirrels/ha) and food supplemented grids (1.3 ± 0.4 squirrels/ha). By 2008, local densities of food supplemented areas increased and were 1.4 squirrels/ha higher than those of control areas, and they were 0.39 squirrels/ha higher on average for the entirety of the food supplementation experiment (Figure X).</w:t>
      </w:r>
    </w:p>
    <w:p>
      <w:pPr>
        <w:pStyle w:val="BodyText"/>
      </w:pPr>
      <w:r>
        <w:t xml:space="preserve">Statistical Analysis</w:t>
      </w:r>
    </w:p>
    <w:p>
      <w:pPr>
        <w:pStyle w:val="BodyText"/>
      </w:pPr>
      <w:r>
        <w:t xml:space="preserve">All data cleaning and statistical analyses were conducted using R language software (REF version). We standardized all numeric variables to have a mean of zero and a standard deviation of 1. Local density, spruce cone production, cache size, and mother age were all standardized across all years and all study areas (i.e., grids). Litter size, litter growth rate, and Julian birth date were standardized within grid-year to be consistent with other studies (REF McAdam et al., 2019, etc.). Using the standardized cache size data, we categorized litters into three levels: small (&lt; 25% quantile), medium (&gt; 25% and &lt; 75% quantile), and large (&gt; 75% quantile). Years were categorized as either mast years or non-mast years, as indicated above. We categorized litters into one of four treatment groups: 1) controls, 2) high density with supplemental food food (henceforth,</w:t>
      </w:r>
      <w:r>
        <w:t xml:space="preserve"> </w:t>
      </w:r>
      <w:r>
        <w:t xml:space="preserve">‘bucket’</w:t>
      </w:r>
      <w:r>
        <w:t xml:space="preserve">), 3) high density without food (henceforth</w:t>
      </w:r>
      <w:r>
        <w:t xml:space="preserve"> </w:t>
      </w:r>
      <w:r>
        <w:t xml:space="preserve">‘no bucket’</w:t>
      </w:r>
      <w:r>
        <w:t xml:space="preserve">), and high acoustic density (henceforth, ‘rattle’). See Table 1 for a summary of sample sizes by these categories and years.</w:t>
      </w:r>
    </w:p>
    <w:p>
      <w:pPr>
        <w:pStyle w:val="BodyText"/>
      </w:pPr>
      <w:r>
        <w:t xml:space="preserve">We used a multivariate Bayesian approach to test how food availability, density, perceived density influence the relationship between litter size and growth rate. To coherently meet the objectives of this study, we conducted four separate multivariate Bayesian models using the ‘brms’ package (cite). Using the bf() function, we created two model formulas per analysis, one for each response variable, i.e., litter size and litter growth rate. We ran the models using the brm() function, merging both models into a bivariate analysis using the</w:t>
      </w:r>
      <w:r>
        <w:t xml:space="preserve"> </w:t>
      </w:r>
      <w:r>
        <w:t xml:space="preserve">‘formula’</w:t>
      </w:r>
      <w:r>
        <w:t xml:space="preserve"> </w:t>
      </w:r>
      <w:r>
        <w:t xml:space="preserve">argument. We ran each model with 2 cores and 2 chains, using 1000 warm up and 10^{4} iterations total. Analyses differed in what data was included and what categorical variable interacted with local density. However, all models included spruce cone production, mother age, mother age squared, parturition date, mast year, and litter sex ratio as fixed effects and grid-year and mother birth year as random effects.</w:t>
      </w:r>
    </w:p>
    <w:p>
      <w:pPr>
        <w:pStyle w:val="BodyText"/>
      </w:pPr>
      <w:r>
        <w:t xml:space="preserve">Our study used four model designs. In the first analysis, we investigated how natural variation in local density affected the covariance between litter size and growth rate. This model, the</w:t>
      </w:r>
      <w:r>
        <w:t xml:space="preserve"> </w:t>
      </w:r>
      <w:r>
        <w:t xml:space="preserve">‘Control Model’</w:t>
      </w:r>
      <w:r>
        <w:t xml:space="preserve">, used litters from control study areas (KL and SU) across all years of the long-term study (1989 - 2025) and included all fixed and random effects listed above. Next, we investigated how experimentally increasing density (food add areas) with or without food (bucket vs. no bucket) affected the covariance between litter size and growth rate in comparison to natural conditions (control areas). This model, called the</w:t>
      </w:r>
      <w:r>
        <w:t xml:space="preserve"> </w:t>
      </w:r>
      <w:r>
        <w:t xml:space="preserve">“Food Model”</w:t>
      </w:r>
      <w:r>
        <w:t xml:space="preserve">, used litters from control and food add study areas across all years of the food add experiment (2005 to 2017, n = 1178). This data set therefore had three individual treatment groups: control, bucket, and no bucket. We interacted food treatment with density. Thirdly, in the</w:t>
      </w:r>
      <w:r>
        <w:t xml:space="preserve"> </w:t>
      </w:r>
      <w:r>
        <w:t xml:space="preserve">‘Cache Model’</w:t>
      </w:r>
      <w:r>
        <w:t xml:space="preserve">, we tested how individual food availability (cache size) under natural food and density conditions (control areas) affected the covariance. The Cache Model used litters from control areas during years when midden cones were counted (2008 to 2025, n = 454). We interacted the mother’s previous autumn’s cache size with local density. Finally, in the</w:t>
      </w:r>
      <w:r>
        <w:t xml:space="preserve"> </w:t>
      </w:r>
      <w:r>
        <w:t xml:space="preserve">‘Rattle Model’</w:t>
      </w:r>
      <w:r>
        <w:t xml:space="preserve"> </w:t>
      </w:r>
      <w:r>
        <w:t xml:space="preserve">we investigated how increasing social cues of density affected the covariance between litter size and growth rate using the rattle playback experiments. The Rattle Model used litters from control and rattle study areas during years when playback experiments occurred (2010 and 2010 to 2022, n = 238). This data set therefore had two treatments: rattles and controls. We interacted treatment with density.</w:t>
      </w:r>
    </w:p>
    <w:p>
      <w:pPr>
        <w:pStyle w:val="BodyText"/>
      </w:pPr>
      <w:r>
        <w:t xml:space="preserve">… more details needed around what stats we actually extract etc. I figured this can wait.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dc:title>
  <dc:creator>Juliana Balluffi-Fry</dc:creator>
  <cp:keywords/>
  <dcterms:created xsi:type="dcterms:W3CDTF">2026-10-27T21:45:37Z</dcterms:created>
  <dcterms:modified xsi:type="dcterms:W3CDTF">2026-10-27T21:45:37Z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2026-09-17</vt:lpwstr>
  </property>
  <property fmtid="{D5CDD505-2E9C-101B-9397-08002B2CF9AE}" pid="3" name="output">
    <vt:lpwstr>word_document</vt:lpwstr>
  </property>
</Properties>
</file>