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1989 to 2025, we trapped female squirrels repeatedly during pregnancy to palpate them and track their pregnancies up to and following gestation. When pregnant females were estimated to be within five days of their parturition date, we fitted them with a very high frequency (VHF) radio collar. Once post-partum (parturition identified by large body mass loss or expressing milk from nipples), using the VHF collar, we tracked the female to her nest. We extracted the pups from the nest to determine litter size, and individual sex and weight. We weighed individual pups to the nearest 0.1 g and gave them a unique ear notch to later identify them within the litter and collect a tissue sample for subsequent DNA parentage analyses (REF). Approximately 25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Juvenile growth during this time period is linear (REF McAdam &amp; Boutin, 2003 J Evol Biol). SOme litters did not survive to the second nest entry, so we could not obtain growth rates for all litters. For this analysis we only used data from a mother’s first litter on a given year to be consistent with previous studies (REF). We removed cases where the number of days in between weight measurements was less than 5, the first weight was greater than 50 g, or the second weight was greater than 100 g because these are characteristics of instances when a nest was initially sampled too late after parturition to be compared. We then averaged the growth rates for each litter so that each female had only one litter averaged growth rate per year.</w:t>
      </w:r>
    </w:p>
    <w:p>
      <w:pPr>
        <w:pStyle w:val="BodyText"/>
      </w:pPr>
      <w:r>
        <w:t xml:space="preserve">We had a total sample size of 2132 litters from 1280 mothers collected from squirrels on two adjacent study areas from 1989-2025. We also collected the parturition dates of all litters because litters born later in the year are usually smaller in size and growth rate (REF).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(i.e., birth date = date 1 - (weight 1 - 8)/1.8) (REF). Mother age and birth year can also influence life history outcomes (REF). Therefore, we also collected the mothers’ birth years from the study’s birth record data. If a mother’s birth year was unknown (n = 490 out of 1280 total mothers), i.e., we do not have a birth record of the mother, we assumed it to be the year before she was first entered into the study. The final life history measurements were litter size, litter growth rate, litter sex ratio (proportion being male), litter parturition date (Julian Day), mother age (years), and mother birth year.</w:t>
      </w:r>
    </w:p>
    <w:p>
      <w:pPr>
        <w:pStyle w:val="BodyText"/>
      </w:pPr>
      <w:r>
        <w:t xml:space="preserve">Food Add Experiment</w:t>
      </w:r>
    </w:p>
    <w:p>
      <w:pPr>
        <w:pStyle w:val="BodyText"/>
      </w:pPr>
      <w:r>
        <w:t xml:space="preserve">Food supplementation (i.e., food add) occurred on three separate areas (LL, JO, AG) that were distant from the other two control study areas (KL/SU). Food add experiments started in the Autumn of 2005 and continued until Spring of 2017, though the exact start and end dates of the food supplementation varied by study area (Table SX). Within the food add areas, buckets containing approximately 1 KG of peanut butter were distributed to squirrel middens randomly. These buckets were restocked with peanut butter approximately every 6 weeks from autumn to spring and/or until females were no longer lactating to the food add as close to ad libitum as possible. Natural defensive behaviour by squirrels ensured that buckets were only accessed by the owners of the midden (REF van Kesteren et al. 2019 PBZ). In total, 470 mothers and 777 litters were from food add areas, with 319 mothers and 479 litters being from middens with buckets. The remainder were from food add areas but did not receive direct food supplementation.</w:t>
      </w:r>
    </w:p>
    <w:p>
      <w:pPr>
        <w:pStyle w:val="BodyText"/>
      </w:pPr>
      <w:r>
        <w:t xml:space="preserve">Food Availability Estimates</w:t>
      </w:r>
    </w:p>
    <w:p>
      <w:pPr>
        <w:pStyle w:val="BodyText"/>
      </w:pPr>
      <w:r>
        <w:t xml:space="preserve">Natural variation in food availability was measured three different ways, the cone production during the previous year, the spruce mast year status of the current year, and the mother’s spruce cone cache size from the previous year. To assess annual cone production, we used a standardized procedure (ref) where we used binoculars to count the number of new cones on around 100 spruce trees systematically distributed across each study are for each of the 7 study areas in in the late summer before squirrels started clipping and caching the cones (typically late July or early August) from 1989 to 2025. We log transformed the tree cone counts and took the average for every grid every year (REF LaMontagne and Boutin 2007). There were 4 cases where we did not quantify the spruce cone production on a study area in a given year. In such cases, we gave it the study area the average tree cone production of all the study areas measured that year. Based on cone count data, we categorized years as being</w:t>
      </w:r>
      <w:r>
        <w:t xml:space="preserve"> </w:t>
      </w:r>
      <w:r>
        <w:t xml:space="preserve">‘non-mast years’</w:t>
      </w:r>
      <w:r>
        <w:t xml:space="preserve">, i.e., having typical amounts of cone production, or as being</w:t>
      </w:r>
      <w:r>
        <w:t xml:space="preserve"> </w:t>
      </w:r>
      <w:r>
        <w:t xml:space="preserve">‘mast years’</w:t>
      </w:r>
      <w:r>
        <w:t xml:space="preserve">, when there were an exponentially high amount of cones produced that autumn (stat?). Over the course of this long-term study, we categorized 1993, 1998, 2005, 2010, 2014, 2019, 2022 as mast years.</w:t>
      </w:r>
    </w:p>
    <w:p>
      <w:pPr>
        <w:pStyle w:val="BodyText"/>
      </w:pPr>
      <w:r>
        <w:t xml:space="preserve">To assess spruce cone cache sizes of individual squirrels, we used a standardized method to count the number of cones cached on middens owned by squirrels on the two control study areas (KL/SU) each September starting in 2007 (probably needs more detail, REF Haines et al. 2022). We log transformed the cached cone counts and paired them to litters born the year following a mother’s midden cone count. In total, 457 litters from 284 females had associated cache sizes.</w:t>
      </w:r>
    </w:p>
    <w:p>
      <w:pPr>
        <w:pStyle w:val="BodyText"/>
      </w:pPr>
      <w:r>
        <w:t xml:space="preserve">Rattle Playback Experiment</w:t>
      </w:r>
    </w:p>
    <w:p>
      <w:pPr>
        <w:pStyle w:val="BodyText"/>
      </w:pPr>
      <w:r>
        <w:t xml:space="preserve">Food and density are inherently correlated with one another in this system (REF Dantzer et al., 2020). To test whether acoustic cues of higher squirrel densities without additional food affected the life history traits of squirrels, we experimentally manipulated acoustic densities of squirrels by exposing them to recordings of squirrel rattles on four study areas over six years. The playback experiments were conducted from 2018 to 2022 on one grid, in addition to a separate study in 2010 that occurred on three grids (Dantzer et al. 2013). On each grid, speakers were deployed at an average density of XX per ha and were programmed to play squirrel rattles every XX minutes. In total, 59 mothers and 65 litters were from rattle playback grids, while 147 mothers and 160 litters were from control grids during those same years (2010 and 2018-2022).</w:t>
      </w:r>
    </w:p>
    <w:p>
      <w:pPr>
        <w:pStyle w:val="BodyText"/>
      </w:pPr>
      <w:r>
        <w:t xml:space="preserve">Local Density</w:t>
      </w:r>
    </w:p>
    <w:p>
      <w:pPr>
        <w:pStyle w:val="BodyText"/>
      </w:pPr>
      <w:r>
        <w:t xml:space="preserve">To estimate conspecific densities (squirrels/ha) that breeding females experienced, we identified the total number of squirrels defending a territory each spring in May of each year. A squirrel was considered the owner of a midden if it was regularly trapped there and displayed territorial behaviours while on the midden (e.g., rattles or caching spruce cones at the midden). Because squirrels are diurnal, visually/acoustically conspicuous, and easily live-trapped, we were able to completely enumerate all squirrels on the study areas. Occasionally, squirrels may own multiple middens; in these scenarios, we only used the squirrel’s primary midden, which was defined as the location where the squirrel most often occurred (observed or captured at that location) and where its spruce cone cache was located. In total, there were 12331 census records of 5128 known squirrels, across the 7 grids and over the 38 year study. There were 301 census records that had a known squirrel but were missing a location. In these cases, we used the average trapping location of that squirrel that spring (April - June) as their census location.</w:t>
      </w:r>
    </w:p>
    <w:p>
      <w:pPr>
        <w:pStyle w:val="BodyText"/>
      </w:pPr>
      <w:r>
        <w:t xml:space="preserve">To calculate local density for each mother, we counted how many squirrels resided within a 130 m radius of her midden location (see figure S1 for a visual example of real spatial locations) and divided this count by the circle area, or 5.3 hectares. We chose this 130 m radius as this is likely the farthest distance that squirrels can hear the territorial vocalizations of other squirrels (REF Smith, 1968, 1978) and it has proven to be an ecologically-relevant estimate of the acoustic neighborhood experienced red squirrels that influences their life history traits (REF Fisher et al., 2017; Siracusa et al., 2021). The edges of trapping grids naturally had lower squirrel densities because grids were surrounded by habitat unsuitable for squirrels, such as marshes, aspen forests, or the Alaska highway (REF Martinig et al. 2020). Therefore, we did not extrapolate squirrel densities outside of grid boundaries. Food supplementation caused an increase in local density over time.</w:t>
      </w:r>
    </w:p>
    <w:p>
      <w:pPr>
        <w:pStyle w:val="BodyText"/>
      </w:pPr>
      <w:r>
        <w:t xml:space="preserve">Statistical Analysis</w:t>
      </w:r>
    </w:p>
    <w:p>
      <w:pPr>
        <w:pStyle w:val="BodyText"/>
      </w:pPr>
      <w:r>
        <w:t xml:space="preserve">All data cleaning and statistical analyses were conducted using R language software (REF version). We standardized all numeric variables to have a mean of zero and a standard deviation of 1. Local density, spruce cone production, cache size, and mother age were all standardized across all years and all grids. Litter size, litter growth rate, and Julian birth date were standardized within grid-year to be consistent with other studies (REF McAdam et al., 2019, etc.). Using the standardized cache size data, we categorized litters into three levels: small (&lt; 25% quantile), medium (&gt; 25% and &lt; 75% quantile), and large (&gt; 75% quantile). Years were categorized as either mast years or non-mast years, as indicated above. We categorized litters into one of four treatment groups: 1) controls, 2) high density with supplemental food food (henceforth,</w:t>
      </w:r>
      <w:r>
        <w:t xml:space="preserve"> </w:t>
      </w:r>
      <w:r>
        <w:t xml:space="preserve">‘bucket’</w:t>
      </w:r>
      <w:r>
        <w:t xml:space="preserve">), 3) high density without food (henceforth</w:t>
      </w:r>
      <w:r>
        <w:t xml:space="preserve"> </w:t>
      </w:r>
      <w:r>
        <w:t xml:space="preserve">‘no bucket’</w:t>
      </w:r>
      <w:r>
        <w:t xml:space="preserve">), and high acoustic density (henceforth, ‘rattle’).</w:t>
      </w:r>
    </w:p>
    <w:p>
      <w:pPr>
        <w:pStyle w:val="BodyText"/>
      </w:pPr>
      <w:r>
        <w:t xml:space="preserve">We used a multivariate Bayesian approach to test how food availability and perceived density influence the relationship between litter size and growth rate in response to con-specific density. To coherently meet the objectives of this study, we conducted three separate multivariate Bayesian models using the ‘brms’ package (cite). Using the bf() function, we created two model formulas per analysis, one for each response variable, i.e., litter size and litter growth rate. We ran the models using the brm() function, merging both models into a bivariate analysis using the</w:t>
      </w:r>
      <w:r>
        <w:t xml:space="preserve"> </w:t>
      </w:r>
      <w:r>
        <w:t xml:space="preserve">‘formula’</w:t>
      </w:r>
      <w:r>
        <w:t xml:space="preserve"> </w:t>
      </w:r>
      <w:r>
        <w:t xml:space="preserve">argument. We ran each model with 2 cores and 2 chains, using 1000 warm up and 10^{4} iterations total. Analyses differed in what data was included and what categorical variable interacted with local density. However, all models included spruce cone production, mother age, mother age squared, parturition date, mast year, and litter sex ratio as fixed effects and grid-year and mother birth year as random effects.</w:t>
      </w:r>
    </w:p>
    <w:p>
      <w:pPr>
        <w:pStyle w:val="BodyText"/>
      </w:pPr>
      <w:r>
        <w:t xml:space="preserve">The first analysis, called the</w:t>
      </w:r>
      <w:r>
        <w:t xml:space="preserve"> </w:t>
      </w:r>
      <w:r>
        <w:t xml:space="preserve">‘Control Model’</w:t>
      </w:r>
      <w:r>
        <w:t xml:space="preserve">, tested how, under natural food and natural density conditions, the relationship between litter size and litter growth rate is affected by local density. The control model used litters from control grids (KL and SU) across all years of the long-term study (1989 - 2025) and included all fixed and random effects listed above.</w:t>
      </w:r>
    </w:p>
    <w:p>
      <w:pPr>
        <w:pStyle w:val="BodyText"/>
      </w:pPr>
      <w:r>
        <w:t xml:space="preserve">The second analysis, called the</w:t>
      </w:r>
      <w:r>
        <w:t xml:space="preserve"> </w:t>
      </w:r>
      <w:r>
        <w:t xml:space="preserve">‘Food Model’</w:t>
      </w:r>
      <w:r>
        <w:t xml:space="preserve">, tested how food supplementation affected the relationship between litter size and growth rates in response to density. The Food Model used litters from control and food add grids across all years of the food add experiment (2005 to 2017, n = 1260). This data set therefore had three individual treatment groups: control, bucket, and no bucket. We interacted food treatment with density.</w:t>
      </w:r>
    </w:p>
    <w:p>
      <w:pPr>
        <w:pStyle w:val="BodyText"/>
      </w:pPr>
      <w:r>
        <w:t xml:space="preserve">The third analysis, called the</w:t>
      </w:r>
      <w:r>
        <w:t xml:space="preserve"> </w:t>
      </w:r>
      <w:r>
        <w:t xml:space="preserve">‘Cache Model’</w:t>
      </w:r>
      <w:r>
        <w:t xml:space="preserve">, tested how the mother’s categorized cache size (3 levels) affected the relationship between litter size and growth rates in response to density. The Cache Model used litters from control grids during years when midden cones were counted (2008 to 2025, n = 457). We interacted cache size with density. No other fixed effects interacted.</w:t>
      </w:r>
    </w:p>
    <w:p>
      <w:pPr>
        <w:pStyle w:val="BodyText"/>
      </w:pPr>
      <w:r>
        <w:t xml:space="preserve">The fourth and final analysis, called the</w:t>
      </w:r>
      <w:r>
        <w:t xml:space="preserve"> </w:t>
      </w:r>
      <w:r>
        <w:t xml:space="preserve">‘Rattle Model’</w:t>
      </w:r>
      <w:r>
        <w:t xml:space="preserve">, tested how changes in perceived density, via rattle playbacks, affected the relationship between litter size and growth rates in response to density. The Rattle Model used litters from control and rattle grids during years when playback experiments occurred (2010 and 2010 to 2022, n = 236). This data set therefore had two treatments: rattles and controls. We interacted treatment with density. No other fixed effects interacted.</w:t>
      </w:r>
    </w:p>
    <w:p>
      <w:pPr>
        <w:pStyle w:val="BodyText"/>
      </w:pPr>
      <w:r>
        <w:t xml:space="preserve">… more details needed around what stats we actually extract etc. I figured this can wait.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2026-10-08T22:29:40Z</dcterms:created>
  <dcterms:modified xsi:type="dcterms:W3CDTF">2026-10-08T22:29:40Z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