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Methods</w:t>
      </w:r>
    </w:p>
    <w:p>
      <w:pPr>
        <w:pStyle w:val="Author"/>
      </w:pPr>
      <w:r>
        <w:t xml:space="preserve">Juliana Balluffi-Fry</w:t>
      </w:r>
    </w:p>
    <w:p>
      <w:pPr>
        <w:pStyle w:val="Date"/>
      </w:pPr>
      <w:r>
        <w:t xml:space="preserve">2026-09-17</w:t>
      </w:r>
    </w:p>
    <w:p>
      <w:pPr>
        <w:pStyle w:val="FirstParagraph"/>
      </w:pPr>
      <w:r>
        <w:t xml:space="preserve">Reproductive Outcomes</w:t>
      </w:r>
    </w:p>
    <w:p>
      <w:pPr>
        <w:pStyle w:val="BodyText"/>
      </w:pPr>
      <w:r>
        <w:t xml:space="preserve">Every spring from 1988 to 2026, we trapped female squirrels repeatedly during their gestation to palpate them and track their pregnancies. When pregnant females were estimated to be within five days of their parturition date, we fit them with a very high frequency (VHF) radio collar. Once post-partum, using the VHF collar, we tracked the female to her nest. We extracted the pups from the nest to determine litter size, and individual sex and weight. We weighed individual pups to the nearest 0.1 g and gave them a unique ear notch to collect a DNA sample and identify them within the litter later. Approximately 35 days after the first visit, we re-located the nest and retrieved the pups. Now developed enough, we ear tagged the pups with unique identification codes and weighed them again to the nearest 0.1 g. To calculate juvenile growth rate, we subtracted the weight at the first visit from the weight at the second weight and divided the difference by the number of days in between visits. If a litter did not survive to its second measurement it could not be used. For this analysis we only used data from a mother’s first litter on a given year. We removed cases where the number of days in between measurements was less than 5 because pup growth is not perfectly linear. We also removed cases where the first weight was greater than 50 g or the second weight was greater than 100 g because this indicates that the nests were sampled too late after birth to be compared. We then averaged the growth rates for each litter.</w:t>
      </w:r>
    </w:p>
    <w:p>
      <w:pPr>
        <w:pStyle w:val="BodyText"/>
      </w:pPr>
      <w:r>
        <w:t xml:space="preserve">We had a total sample size of 2132 litters from 1280 mothers. The final life history measurements were litter size, litter growth rate, litter sex ratio (proportion being male), litter parturition date (Julian Day), mother age (years), and mother birth year. If a litter’s parturition date was unknown (n = 91), e.g., the first nest visit occurred later than normal, we estimated it by subtracting the number of days from the first nest visit to when the pup size would have been the average birth weight of 8 g via the average growth rate of 1.8 g per day (i.e., birth date = date 1 - (weight 1 - 8)/1.8). If a mother’s age was unknown (n = 767), i.e., we do not have a birth record of the mother, we assumed it to be the year before she was first entered into the study.</w:t>
      </w:r>
    </w:p>
    <w:p>
      <w:pPr>
        <w:pStyle w:val="BodyText"/>
      </w:pPr>
      <w:r>
        <w:t xml:space="preserve">Food Add Experiment</w:t>
      </w:r>
    </w:p>
    <w:p>
      <w:pPr>
        <w:pStyle w:val="BodyText"/>
      </w:pPr>
      <w:r>
        <w:t xml:space="preserve">Food supplementation started in 2005 and continued until 2017, occurring on 3 grids (LL, JO, AG). Within the food add grids, buckets of peanut butter were distributed to some middens randomly. These buckets were frequently restocked with peanut butter, to make the food add as close to ad libitum as possible. Natural defensive behaviour by squirrels ensured that buckets were only accessed by the owners of the midden. In total, 470 mothers and 777 litters were from food add grids, with 319 mothers and 479 litters being from middens with buckets. The remainder were from food add grids but did not receive direct food supplementation.</w:t>
      </w:r>
    </w:p>
    <w:p>
      <w:pPr>
        <w:pStyle w:val="BodyText"/>
      </w:pPr>
      <w:r>
        <w:t xml:space="preserve">Food Availability Estimates</w:t>
      </w:r>
    </w:p>
    <w:p>
      <w:pPr>
        <w:pStyle w:val="BodyText"/>
      </w:pPr>
      <w:r>
        <w:t xml:space="preserve">Natural variation in food availability was measured three different ways, the cone production during the previous year, the mast year status of the current year, and the mother’ cache size from the previous year. To assess annual cone production, we counted the number of new cones on 100 trees (average) stratified within each of the 7 study grids every August from 1988 to 2026. We log transformed the tree cone counts, and took the average for every grid every year. If a grid was not assessed on a given year, we gave it the average tree cone count of all grids measured that year (n = 58 litters). Based on cone count data, we categorized years as having normal amounts of cone production or as being mast years, when there were an exponentially high amount of cones produced that autumn (stat?). Over the course of this long term study, 1993, 1998, 2005, 2010, 2014, 2019, 2022 were the mast years. To assess squirrel cache sizes, we counted the number of cones cached on all primary middens in control grids each September starting in 2007 (probably needs more detail). We log transformed the cached cone counts and paired them to litters born the year following a mother’s midden cone count. In total, 457 litters had associated cache sizes.</w:t>
      </w:r>
    </w:p>
    <w:p>
      <w:pPr>
        <w:pStyle w:val="BodyText"/>
      </w:pPr>
      <w:r>
        <w:t xml:space="preserve">Rattle Playback Experiment</w:t>
      </w:r>
    </w:p>
    <w:p>
      <w:pPr>
        <w:pStyle w:val="BodyText"/>
      </w:pPr>
      <w:r>
        <w:t xml:space="preserve">In order to test if higher densities affected squirrels non-directly, we experimentally manipulate squirrel perception of density by playing recordings of squirrel rattles to a subset of squirrels. The playback experiments were conducted from 2018 to 2022 on one grid, in addition to a pilot study in 2010 that occurred on three grids. On each grid, speakers were deployed at an average density of XX per ha and were programmed to play squirrel rattles every XX minutes. (I can’t speak to much to the actual methods here obviously). In total, 59 mothers and 65 litters were from rattle playback grids, while 147 mothers and 160 litters were from control grids during those same years.</w:t>
      </w:r>
    </w:p>
    <w:p>
      <w:pPr>
        <w:pStyle w:val="BodyText"/>
      </w:pPr>
      <w:r>
        <w:t xml:space="preserve">Local Density</w:t>
      </w:r>
    </w:p>
    <w:p>
      <w:pPr>
        <w:pStyle w:val="BodyText"/>
      </w:pPr>
      <w:r>
        <w:t xml:space="preserve">To estimate local densities (squirrels/ha) experienced by mothers in spring, we used the long term census data from the Kluane Red Squirrel Project. Trapping grids were censused every spring in May to determine midden locations and ownership. A squirrel was considered the owner of a midden if it was regularly trapped there and displayed territorial behaviours while on the midden (e.g., rattles). We collected all known squirrels and their midden locations (x, y coordinates) from all years of the spring census data. Occasionally, squirrels may own multiple middens; in these scenarios, we only used the squirrel’s primary midden. In total, there were 12331 census records of 5128 known squirrels, across the 7 grids and over the 38 year study. There were 301 census records that had a known squirrel but were missing a location. In these cases, we used the average trapping location of that squirrel that spring (April - June) as their census location.</w:t>
      </w:r>
    </w:p>
    <w:p>
      <w:pPr>
        <w:pStyle w:val="BodyText"/>
      </w:pPr>
      <w:r>
        <w:t xml:space="preserve">To calculate local density for each mother, we counted how squirrels resided within a 130 m radius of her midden location (see figure S1 for a visual example of real spatial locations) and divided this count by the circle area, or 5.3 hectares. The edges of trapping grids naturally had lower squirrel densities because grids were surrounded by habitat unsuitable for squirrels, such as marshes, aspen forests, or the Alaska highway. Therefore, we did not extrapolate squirrel densities outside of grid boundaries. Food supplementation caused an increase in local density over time.</w:t>
      </w:r>
    </w:p>
    <w:p>
      <w:pPr>
        <w:pStyle w:val="BodyText"/>
      </w:pPr>
      <w:r>
        <w:t xml:space="preserve">Statistical Analysis</w:t>
      </w:r>
    </w:p>
    <w:p>
      <w:pPr>
        <w:pStyle w:val="BodyText"/>
      </w:pPr>
      <w:r>
        <w:t xml:space="preserve">All data cleaning and statistical analyses were conducted using R language software (cite version). We standardized all numeric variables. Local density, tree cone density, cache size, and mother age were all standardized across all years and all grids. Litter size, litter growth rate, and Julian birth date were standardized within grid-year. Using the standardized cache size data, we categorized litters into three cache size levels: small (&lt; 25% quantile), medium (&gt; 25% and &lt; 75% quantile), and large (&gt; 75% quantile). Years were categorized as either mast years or regular years. We categorized litters into one of four treatment groups: controls, food adds with a bucket (henceforth, ‘bucket’), food add without a bucket (henceforth, ‘no bucket’), and rattle playbacks (henceforth, ‘rattle’).</w:t>
      </w:r>
    </w:p>
    <w:p>
      <w:pPr>
        <w:pStyle w:val="BodyText"/>
      </w:pPr>
      <w:r>
        <w:t xml:space="preserve">To test how food availability and perceived density influence the relationship between litter size and growth rate in response to con-specific density, we used a multivariate Bayesian framework. To coherently meet the objectives of this study, we conducted three separate multivate Bayesian models using the ‘brms’ package (cite). Using the bf() function, we created two model formulas per analysis, one for each response variable, i.e., litter size and litter growth rate. We ran the models using the brm() function, merging both models into a bivariate analysis using the</w:t>
      </w:r>
      <w:r>
        <w:t xml:space="preserve"> </w:t>
      </w:r>
      <w:r>
        <w:t xml:space="preserve">‘formula =’</w:t>
      </w:r>
      <w:r>
        <w:t xml:space="preserve"> </w:t>
      </w:r>
      <w:r>
        <w:t xml:space="preserve">argument. We ran each model with 2 cores and 2 chains, using 1000 warm up and 10^{4} iterations total. Analyses differed in what data was included and what categorical variable interacted with local density. However, all models included tree cone counts, mother age, mother age squared, parturition date, mast year, and litter sex ratio as fixed effects and grid-year and mother birth year as random effects.</w:t>
      </w:r>
    </w:p>
    <w:p>
      <w:pPr>
        <w:pStyle w:val="BodyText"/>
      </w:pPr>
      <w:r>
        <w:t xml:space="preserve">The first analysis, called the</w:t>
      </w:r>
      <w:r>
        <w:t xml:space="preserve"> </w:t>
      </w:r>
      <w:r>
        <w:t xml:space="preserve">‘Food Model’</w:t>
      </w:r>
      <w:r>
        <w:t xml:space="preserve">, tested how food supplementation affected the relationship between litter size and growth rates in response to density. The Food Model used litters from control and food add grids across all years of the study (n = 1987). This data set therefore had three individual treatment groups: control, bucket, and no bucket. We interacted food treatment with density. No other fixed effects interacted.</w:t>
      </w:r>
    </w:p>
    <w:p>
      <w:pPr>
        <w:pStyle w:val="BodyText"/>
      </w:pPr>
      <w:r>
        <w:t xml:space="preserve">The second analysis, called the</w:t>
      </w:r>
      <w:r>
        <w:t xml:space="preserve"> </w:t>
      </w:r>
      <w:r>
        <w:t xml:space="preserve">‘Cache Model’</w:t>
      </w:r>
      <w:r>
        <w:t xml:space="preserve">, tested how the mother’s cache size affected the relationship between litter size and growth rates in response to density. The Cache Model used litters from control grids during years when midden cones were counted (n = 457). This data set therefore had three cache size categories: small, medium, and large. We interacted cache size with density. No other fixed effects interacted.</w:t>
      </w:r>
    </w:p>
    <w:p>
      <w:pPr>
        <w:pStyle w:val="BodyText"/>
      </w:pPr>
      <w:r>
        <w:t xml:space="preserve">The third analysis, called the</w:t>
      </w:r>
      <w:r>
        <w:t xml:space="preserve"> </w:t>
      </w:r>
      <w:r>
        <w:t xml:space="preserve">‘Rattle Model’</w:t>
      </w:r>
      <w:r>
        <w:t xml:space="preserve">, tested how changes in perceived density, via rattle playbacks, affected the relationship between litter size and growth rates in response to density. The Rattle Model used litters from control and rattle grids during years when playback experiments occurred (n = 236). This data set therefore had two treatments: rattles and controls. We interacted treatment with density. No other fixed effects interacted.</w:t>
      </w:r>
    </w:p>
    <w:p>
      <w:pPr>
        <w:pStyle w:val="BodyText"/>
      </w:pPr>
      <w:r>
        <w:t xml:space="preserve">… more details needed around what stats we actually extract etc. I figured this can wait.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Methods</dc:title>
  <dc:creator>Juliana Balluffi-Fry</dc:creator>
  <cp:keywords/>
  <dcterms:created xsi:type="dcterms:W3CDTF">2026-09-18T21:49:17Z</dcterms:created>
  <dcterms:modified xsi:type="dcterms:W3CDTF">2026-09-18T21:49:17Z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2026-09-17</vt:lpwstr>
  </property>
  <property fmtid="{D5CDD505-2E9C-101B-9397-08002B2CF9AE}" pid="3" name="output">
    <vt:lpwstr>word_document</vt:lpwstr>
  </property>
</Properties>
</file>