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1988 to 2026, we trapped female squirrels repeatedly during their gestation to palpate them and track their pregnancies. When pregnant females were estimated to be within five days of their parturition date, we fit them with a very high frequency (VHF) radio collar. Once post-partum, using the VHF collar, we tracked the female to her nest. We extracted the pups from the nest to determine litter size, and individual sex and weight. We weighed individual pups to the nearest 0.1 g and gave them a unique ear notch to collect a DNA sample and identify them within the litter later. Approximately 35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If a litter did not survive to its second measurement it could not be used. For this analysis we only used data from a mother’s first litter on a given year. We removed cases where the number of days in between measurements was less than 5 because pup growth is not perfectly linear. We also removed cases where the first weight was greater than 50 g or the second weight was greater than 100 g because this indicates that the nests were sampled too late after birth to be compared. We then averaged the growth rates for each litter.</w:t>
      </w:r>
    </w:p>
    <w:p>
      <w:pPr>
        <w:pStyle w:val="BodyText"/>
      </w:pPr>
      <w:r>
        <w:t xml:space="preserve">We had a total sample size of 2132 litters from 1280 mothers. The final life history measurements were litter size, litter growth rate, litter sex ratio (proportion being male), litter parturition date (Julian Day), mother age (years), and mother birth year.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(i.e., birth date = date 1 - (weight 1 - 8)/1.8). If a mother’s age was unknown (n = 767), i.e., we do not have a birth record of the mother, we assumed it to be the year before she was first entered into the study.</w:t>
      </w:r>
    </w:p>
    <w:p>
      <w:pPr>
        <w:pStyle w:val="BodyText"/>
      </w:pPr>
      <w:r>
        <w:t xml:space="preserve">Food Add Experiment</w:t>
      </w:r>
    </w:p>
    <w:p>
      <w:pPr>
        <w:pStyle w:val="BodyText"/>
      </w:pPr>
      <w:r>
        <w:t xml:space="preserve">Food supplementation started in 2005 and continued until 2017, occurring on 3 grids (LL, JO, AG). Within the food add grids, buckets of peanut butter were distributed to some middens randomly. These buckets were frequently restocked with peanut butter, to make the food add as close to ad libitum as possible. Natural defensive behaviour by squirrels ensured that buckets were only accessed by the owners of the midden. In total, 470 mothers and 777 litters were from food add grids, with 319 mothers and 479 litters being from middens with buckets. The remainder were from food add grids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mast year status of the current year, and the mother’ cache size from the previous year. To assess annual cone production, we counted the number of new cones on 100 trees (average) stratified within each of the 7 study grids every August from 1988 to 2026. We log transformed the tree cone counts, and took the average for every grid every year. If a grid was not assessed on a given year, we gave it the average tree cone count of all grids measured that year (n = 58 litters). Based on cone count data, we categorized years as having normal amounts of cone production or as being mast years, when there were an exponentially high amount of cones produced that autumn (stat?). Over the course of this long term study, 1993, 1998, 2005, 2010, 2014, 2019, 2022 were the mast years. To assess squirrel cache sizes, we counted the number of cones cached on all primary middens in control grids each September starting in 2007 (probably needs more detail). We log transformed the cached cone counts and paired them to litters born the year following a mother’s midden cone count. In total, 457 litters had associated cache sizes.</w:t>
      </w:r>
    </w:p>
    <w:p>
      <w:pPr>
        <w:pStyle w:val="BodyText"/>
      </w:pPr>
      <w:r>
        <w:t xml:space="preserve">Rattle Playback Experiment</w:t>
      </w:r>
    </w:p>
    <w:p>
      <w:pPr>
        <w:pStyle w:val="BodyText"/>
      </w:pPr>
      <w:r>
        <w:t xml:space="preserve">In order to test if higher densities affected squirrels non-directly, we experimentally manipulate squirrel perception of density by playing recordings of squirrel rattles to a subset of squirrels. The playback experiments were conducted from 2018 to 2022 on one grid, in addition to a pilot study in 2010 that occurred on three grids. On each grid, speakers were deployed at an average density of XX per ha and were programmed to play squirrel rattles every XX minutes. (I can’t speak to much to the actual methods here obviously). In total, 59 mothers and 65 litters were from rattle playback grids, while 147 mothers and 160 litters were from control grids during those same years.</w:t>
      </w:r>
    </w:p>
    <w:p>
      <w:pPr>
        <w:pStyle w:val="BodyText"/>
      </w:pPr>
      <w:r>
        <w:t xml:space="preserve">Local Density</w:t>
      </w:r>
    </w:p>
    <w:p>
      <w:pPr>
        <w:pStyle w:val="BodyText"/>
      </w:pPr>
      <w:r>
        <w:t xml:space="preserve">To estimate local densities (squirrels/ha) experienced by mothers in spring, we used the long term census data from the Kluane Red Squirrel Project. Trapping grids were censused every spring in May to determine midden locations and ownership. A squirrel was considered the owner of a midden if it was regularly trapped there and displayed territorial behaviours while on the midden (e.g., rattles). We collected all known squirrels and their midden locations (x, y coordinates) from all years of the spring census data. Occasionally, squirrels may own multiple middens; in these scenarios, we only used the squirrel’s primary midden. In total, there were 12331 census records of 5128 known squirrels, across the 7 grids and over the 38 year study. There were 301 census records that had a known squirrel but were missing a location. In these cases, we used the average trapping location of that squirrel that spring (April - June) as their census location.</w:t>
      </w:r>
    </w:p>
    <w:p>
      <w:pPr>
        <w:pStyle w:val="BodyText"/>
      </w:pPr>
      <w:r>
        <w:t xml:space="preserve">To calculate local density for each mother, we counted how squirrels resided within a 130 m radius of her midden location (see figure S1 for a visual example of real spatial locations) and divided this count by the circle area, or 5.3 hectares. The edges of trapping grids naturally had lower squirrel densities because grids were surrounded by habitat unsuitable for squirrels, such as marshes, aspen forests, or the Alaska highway. Therefore, we did not extrapolate squirrel densities outside of grid boundaries. Food supplementation caused an increase in local density over time.</w:t>
      </w:r>
    </w:p>
    <w:p>
      <w:pPr>
        <w:pStyle w:val="BodyText"/>
      </w:pPr>
      <w:r>
        <w:t xml:space="preserve">Statistical Analysis</w:t>
      </w:r>
    </w:p>
    <w:p>
      <w:pPr>
        <w:pStyle w:val="BodyText"/>
      </w:pPr>
      <w:r>
        <w:t xml:space="preserve">All data cleaning and statistical analyses were conducted using R language software (cite version). We standardized all numeric variables. Local density, tree cone density, cache size, and mother age were all standardized across all years and all grids. Litter size, litter growth rate, and Julian birth date were standardized within grid-year. Using the standardized cache size data, we categorized litters into three cache size levels: small (&lt; 25% quantile), medium (&gt; 25% and &lt; 75% quantile), and large (&gt; 75% quantile). Years were categorized as either mast years or regular years. We categorized litters into one of four treatment groups: controls, food adds with a bucket (henceforth, ‘bucket’), food add without a bucket (henceforth, ‘no bucket’), and rattle playbacks (henceforth, ‘rattle’).</w:t>
      </w:r>
    </w:p>
    <w:p>
      <w:pPr>
        <w:pStyle w:val="BodyText"/>
      </w:pPr>
      <w:r>
        <w:t xml:space="preserve">To test how food availability and perceived density influence the relationship between litter size and growth rate in response to con-specific density, we used a multivariate Bayesian framework. To coherently meet the objectives of this study, we conducted three separate multivate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 =’</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tree cone counts, mother age, mother age squared, parturition date, mast year, and litter sex ratio as fixed effects and grid-year and mother birth year as random effects.</w:t>
      </w:r>
    </w:p>
    <w:p>
      <w:pPr>
        <w:pStyle w:val="BodyText"/>
      </w:pPr>
      <w:r>
        <w:t xml:space="preserve">The first analysis, called the</w:t>
      </w:r>
      <w:r>
        <w:t xml:space="preserve"> </w:t>
      </w:r>
      <w:r>
        <w:t xml:space="preserve">‘Food Model’</w:t>
      </w:r>
      <w:r>
        <w:t xml:space="preserve">, tested how food supplementation affected the relationship between litter size and growth rates in response to density. The Food Model used litters from control and food add grids across all years of the study (n = 1987). This data set therefore had three individual treatment groups: control, bucket, and no bucket. We interacted food treatment with density. No other fixed effects interacted.</w:t>
      </w:r>
    </w:p>
    <w:p>
      <w:pPr>
        <w:pStyle w:val="BodyText"/>
      </w:pPr>
      <w:r>
        <w:t xml:space="preserve">The second analysis, called the</w:t>
      </w:r>
      <w:r>
        <w:t xml:space="preserve"> </w:t>
      </w:r>
      <w:r>
        <w:t xml:space="preserve">‘Cache Model’</w:t>
      </w:r>
      <w:r>
        <w:t xml:space="preserve">, tested how the mother’s cache size affected the relationship between litter size and growth rates in response to density. The Cache Model used litters from control grids during years when midden cones were counted (n = 457). This data set therefore had three cache size categories: small, medium, and large. We interacted cache size with density. No other fixed effects interacted.</w:t>
      </w:r>
    </w:p>
    <w:p>
      <w:pPr>
        <w:pStyle w:val="BodyText"/>
      </w:pPr>
      <w:r>
        <w:t xml:space="preserve">The third analysis, called the</w:t>
      </w:r>
      <w:r>
        <w:t xml:space="preserve"> </w:t>
      </w:r>
      <w:r>
        <w:t xml:space="preserve">‘Rattle Model’</w:t>
      </w:r>
      <w:r>
        <w:t xml:space="preserve">, tested how changes in perceived density, via rattle playbacks, affected the relationship between litter size and growth rates in response to density. The Rattle Model used litters from control and rattle grids during years when playback experiments occurred (n = 236). This data set therefore had two treatments: rattles and controls. We interacted treatment with density. No other fixed effects interacted.</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2026-09-18T17:39:34Z</dcterms:created>
  <dcterms:modified xsi:type="dcterms:W3CDTF">2026-09-18T17:39:34Z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