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p>
    <w:p>
      <w:pPr>
        <w:pStyle w:val="Author"/>
      </w:pPr>
      <w:r>
        <w:t xml:space="preserve">Juliana Balluffi-Fry</w:t>
      </w:r>
    </w:p>
    <w:p>
      <w:pPr>
        <w:pStyle w:val="Date"/>
      </w:pPr>
      <w:r>
        <w:t xml:space="preserve">2026-09-17</w:t>
      </w:r>
    </w:p>
    <w:p>
      <w:pPr>
        <w:pStyle w:val="FirstParagraph"/>
      </w:pPr>
      <w:r>
        <w:t xml:space="preserve">Reproductive Outcomes</w:t>
      </w:r>
    </w:p>
    <w:p>
      <w:pPr>
        <w:pStyle w:val="BodyText"/>
      </w:pPr>
      <w:r>
        <w:t xml:space="preserve">Every spring from 1989 to 2025, we trapped female squirrels repeatedly during pregnancy to palpate them and track their pregnancies up to and following gestation. When pregnant females were estimated to be within five days of their parturition date, we fitted them with a very high frequency (VHF) radio collar. Once post-partum (parturition identified by large body mass loss or expressing milk from nipples), using the VHF collar, we tracked the female to her nest. We extracted the pups from the nest to determine litter size, and individual sex and weight. We weighed individual pups to the nearest 0.1 g and gave them a unique ear notch to later identify them within the litter and collect a tissue sample for subsequent DNA parentage analyses (REF). Approximately 25 days after the first visit, we re-located the nest and retrieved the pups. Now developed enough, we ear tagged the pups with unique identification codes and weighed them again to the nearest 0.1 g. To calculate juvenile growth rate, we subtracted the weight at the first visit from the weight at the second weight and divided the difference by the number of days in between visits. Juvenile growth during this time period is linear (REF McAdam &amp; Boutin, 2003 J Evol Biol). SOme litters did not survive to the second nest entry, so we could not obtain growth rates for all litters. For this analysis we only used data from a mother’s first litter on a given year to be consistent with previous studies (REF). We removed cases where the number of days in between weight measurements was less than 5, the first weight was greater than 50 g, or the second weight was greater than 100 g because these are characteristics of instances when a nest was initially sampled too late after parturition to be compared. We then averaged the growth rates for each litter so that each female had only one litter averaged growth rate per year.</w:t>
      </w:r>
    </w:p>
    <w:p>
      <w:pPr>
        <w:pStyle w:val="BodyText"/>
      </w:pPr>
      <w:r>
        <w:t xml:space="preserve">We had a total sample size of 2064 litters from 1245 mothers collected from squirrels on two adjacent study areas from 1989-2025. We also collected the parturition dates of all litters because litters born later in the year are usually smaller in size and growth rate (REF). If a litter’s parturition date was unknown (n = 91), e.g., the first nest visit occurred later than normal, we estimated it by subtracting the number of days from the first nest visit to when the pup size would have been the average birth weight of 8 g via the average growth rate of 1.8 g per day (i.e., birth date = date 1 - (weight 1 - 8)/1.8) (REF). Mother age and birth year can also influence life history outcomes (REF). Therefore, we also collected the mothers’ birth years from the study’s birth record data. If a mother’s birth year was unknown (n = 482 out of 1245 total mothers), i.e., we do not have a birth record of the mother, we assumed it to be the year before she was first entered into the study. The final life history measurements were litter size, litter growth rate, litter sex ratio (proportion being male), litter parturition date (Julian Day), mother age (years), and mother birth year.</w:t>
      </w:r>
    </w:p>
    <w:p>
      <w:pPr>
        <w:pStyle w:val="BodyText"/>
      </w:pPr>
      <w:r>
        <w:t xml:space="preserve">Food Add Experiment</w:t>
      </w:r>
    </w:p>
    <w:p>
      <w:pPr>
        <w:pStyle w:val="BodyText"/>
      </w:pPr>
      <w:r>
        <w:t xml:space="preserve">Food supplementation (i.e., food add) occurred on three separate areas (LL, JO, AG) that were distant from the other two control study areas (KL/SU). Food add experiments started in the Autumn of 2005 and continued until Spring of 2017, though the exact start and end dates of the food supplementation varied by study area (Table 1). Within the food add areas, buckets containing approximately 1 KG of peanut butter were distributed to squirrel middens randomly. These buckets were restocked with peanut butter approximately every 6 weeks from autumn to spring and/or until females were no longer lactating to the food add as close to ad libitum as possible. Natural defensive behaviour by squirrels ensured that buckets were only accessed by the owners of the midden (REF van Kesteren et al. 2019 PBZ). In total, 432 mothers and 707 litters were from food add areas, with 319 mothers and 479 litters being from middens with buckets. The remainder were from food add areas but did not receive direct food supplementation.</w:t>
      </w:r>
    </w:p>
    <w:p>
      <w:pPr>
        <w:pStyle w:val="BodyText"/>
      </w:pPr>
      <w:r>
        <w:t xml:space="preserve">Food Availability Estimates</w:t>
      </w:r>
    </w:p>
    <w:p>
      <w:pPr>
        <w:pStyle w:val="BodyText"/>
      </w:pPr>
      <w:r>
        <w:t xml:space="preserve">Natural variation in food availability was measured three different ways, the cone production during the previous year, the spruce mast year status of the current year, and the mother’s spruce cone cache size from the previous year. To assess annual cone production, we used a standardized procedure (REF) where we used binoculars to count the number of new cones on around 100 spruce trees systematically distributed across each study are for each of the 7 study areas in in the late summer before squirrels started clipping and caching the cones (typically late July or early August) from 1989 to 2025. We log transformed the tree cone counts and took the average for every study area every year (REF LaMontagne and Boutin 2007). There were 4 cases where we did not quantify the spruce cone production on a study area in a given year. In such cases, we gave it the study area the average tree cone production of all the study areas measured that year. Based on cone count data, we categorized years as being</w:t>
      </w:r>
      <w:r>
        <w:t xml:space="preserve"> </w:t>
      </w:r>
      <w:r>
        <w:t xml:space="preserve">‘non-mast years’</w:t>
      </w:r>
      <w:r>
        <w:t xml:space="preserve">, i.e., having typical amounts of cone production, or as being</w:t>
      </w:r>
      <w:r>
        <w:t xml:space="preserve"> </w:t>
      </w:r>
      <w:r>
        <w:t xml:space="preserve">‘mast years’</w:t>
      </w:r>
      <w:r>
        <w:t xml:space="preserve">, when there were an exponentially high amount of cones produced that autumn (stat?). Over the course of this long-term study, we categorized 1993, 1998, 2005, 2010, 2014, 2019, 2022 as mast years.</w:t>
      </w:r>
    </w:p>
    <w:p>
      <w:pPr>
        <w:pStyle w:val="BodyText"/>
      </w:pPr>
      <w:r>
        <w:t xml:space="preserve">To assess spruce cone cache sizes of individual squirrels, we used a standardized method to count the number of cones cached on middens owned by squirrels on the two control study areas (KL/SU) each September starting in 2007 (probably needs more detail, REF Haines et al. 2022). We log transformed the cached cone counts and paired them to litters born the year following a mother’s midden cone count. In total, 454 litters from 283 females had associated cache sizes.</w:t>
      </w:r>
    </w:p>
    <w:p>
      <w:pPr>
        <w:pStyle w:val="BodyText"/>
      </w:pPr>
      <w:r>
        <w:t xml:space="preserve">Rattle Playback Experiment</w:t>
      </w:r>
    </w:p>
    <w:p>
      <w:pPr>
        <w:pStyle w:val="BodyText"/>
      </w:pPr>
      <w:r>
        <w:t xml:space="preserve">Food and density are inherently correlated with one another in this system (REF Dantzer et al., 2020). To test whether acoustic cues of higher squirrel densities without additional food affected the life history traits of squirrels, we experimentally manipulated acoustic densities of squirrels by exposing them to recordings of squirrel rattles on four study areas over six years. The playback experiments were conducted from 2018 to 2022 on one study area, in addition to a separate study in 2010 that occurred on three study areas (Dantzer et al. 2013). On rattle treatment area, speakers were deployed at an average density of XX per ha and were programmed to play squirrel rattles every XX minutes. In total, 60 mothers and 66 litters were from rattle playback areas, while 135 mothers and 148 litters were from control areas during those same years (2010 and 2018-2022).</w:t>
      </w:r>
    </w:p>
    <w:p>
      <w:pPr>
        <w:pStyle w:val="BodyText"/>
      </w:pPr>
      <w:r>
        <w:t xml:space="preserve">Local Density</w:t>
      </w:r>
    </w:p>
    <w:p>
      <w:pPr>
        <w:pStyle w:val="BodyText"/>
      </w:pPr>
      <w:r>
        <w:t xml:space="preserve">To estimate conspecific densities (squirrels/ha) that breeding females experienced, we identified the total number of squirrels defending a territory each spring in May of each year. A squirrel was considered the owner of a midden if it was regularly trapped there and displayed territorial behaviours while on the midden (e.g., rattles or caching spruce cones at the midden). Because squirrels are diurnal, visually/acoustically conspicuous, and easily live-trapped, we were able to completely enumerate all squirrels on the study areas. Occasionally, squirrels may own multiple middens; in these scenarios, we only used the squirrel’s primary midden, which was defined as the location where the squirrel most often occurred (observed or captured at that location) and where its spruce cone cache was located. In total, there were 12331 census records of 5128 known squirrels, across the 7 study areas and over the 38 year study. There were 301 census records that had a known squirrel but were missing a location. In these cases, we used the average trapping location of that squirrel that spring (April - June) as their census location.</w:t>
      </w:r>
    </w:p>
    <w:p>
      <w:pPr>
        <w:pStyle w:val="BodyText"/>
      </w:pPr>
      <w:r>
        <w:t xml:space="preserve">To calculate local density for each mother, we counted how many squirrels resided within a 130 m radius of her midden location (see figure S1 for a visual example of real spatial locations) and divided this count by the circle area, or 5.3 hectares. We chose this 130 m radius as this is likely the farthest distance that squirrels can hear the territorial vocalizations of other squirrels (REF Smith, 1968, 1978) and it has proven to be an ecologically-relevant estimate of the acoustic neighborhood experienced red squirrels that influences their life history traits (REF Fisher et al., 2017; Siracusa et al., 2021). The edges of trapping areas naturally had lower squirrel densities because study areas were surrounded by habitat unsuitable for squirrels, such as marshes, aspen forests, or the Alaska highway (REF Martinig et al. 2020). Therefore, we did not extrapolate squirrel densities outside of study area boundaries. Food supplementation caused an increase in local density over time.</w:t>
      </w:r>
    </w:p>
    <w:p>
      <w:pPr>
        <w:pStyle w:val="BodyText"/>
      </w:pPr>
      <w:r>
        <w:t xml:space="preserve">Statistical Analysis</w:t>
      </w:r>
    </w:p>
    <w:p>
      <w:pPr>
        <w:pStyle w:val="BodyText"/>
      </w:pPr>
      <w:r>
        <w:t xml:space="preserve">All data cleaning and statistical analyses were conducted using R language software (REF version). We standardized all numeric variables to have a mean of zero and a standard deviation of 1. Local density, spruce cone production, cache size, and mother age were all standardized across all years and all study areas (i.e., grids). Litter size, litter growth rate, and Julian birth date were standardized within grid-year to be consistent with other studies (REF McAdam et al., 2019, etc.). Using the standardized cache size data, we categorized litters into three levels: small (&lt; 25% quantile), medium (&gt; 25% and &lt; 75% quantile), and large (&gt; 75% quantile). Years were categorized as either mast years or non-mast years, as indicated above. We categorized litters into one of four treatment groups: 1) controls, 2) high density with supplemental food food (henceforth,</w:t>
      </w:r>
      <w:r>
        <w:t xml:space="preserve"> </w:t>
      </w:r>
      <w:r>
        <w:t xml:space="preserve">‘bucket’</w:t>
      </w:r>
      <w:r>
        <w:t xml:space="preserve">), 3) high density without food (henceforth</w:t>
      </w:r>
      <w:r>
        <w:t xml:space="preserve"> </w:t>
      </w:r>
      <w:r>
        <w:t xml:space="preserve">‘no bucket’</w:t>
      </w:r>
      <w:r>
        <w:t xml:space="preserve">), and high acoustic density (henceforth, ‘rattle’). See Table 1 for a summary of sample sizes by these categories and years.</w:t>
      </w:r>
    </w:p>
    <w:p>
      <w:pPr>
        <w:pStyle w:val="BodyText"/>
      </w:pPr>
      <w:r>
        <w:t xml:space="preserve">We used a multivariate Bayesian approach to test how food availability, density, perceived density influence the relationship between litter size and growth rate. To coherently meet the objectives of this study, we conducted four separate multivariate Bayesian models using the ‘brms’ package (cite). Using the bf() function, we created two model formulas per analysis, one for each response variable, i.e., litter size and litter growth rate. We ran the models using the brm() function, merging both models into a bivariate analysis using the</w:t>
      </w:r>
      <w:r>
        <w:t xml:space="preserve"> </w:t>
      </w:r>
      <w:r>
        <w:t xml:space="preserve">‘formula’</w:t>
      </w:r>
      <w:r>
        <w:t xml:space="preserve"> </w:t>
      </w:r>
      <w:r>
        <w:t xml:space="preserve">argument. We ran each model with 2 cores and 2 chains, using 1000 warm up and 10^{4} iterations total. Analyses differed in what data was included and what categorical variable interacted with local density. However, all models included spruce cone production, mother age, mother age squared, parturition date, mast year, and litter sex ratio as fixed effects and grid-year and mother birth year as random effects.</w:t>
      </w:r>
    </w:p>
    <w:p>
      <w:pPr>
        <w:pStyle w:val="BodyText"/>
      </w:pPr>
      <w:r>
        <w:t xml:space="preserve">Our study used four model designs. In the first analysis, we investigated how natural variation in local density affected the covariance between litter size and growth rate. This model, the</w:t>
      </w:r>
      <w:r>
        <w:t xml:space="preserve"> </w:t>
      </w:r>
      <w:r>
        <w:t xml:space="preserve">‘Control Model’</w:t>
      </w:r>
      <w:r>
        <w:t xml:space="preserve">, used litters from control study areas (KL and SU) across all years of the long-term study (1989 - 2025) and included all fixed and random effects listed above. Next, we investigated how experimentally increasing density (food add areas) with or without food (bucket vs. no bucket) affected the covariance between litter size and growth rate in comparison to natural conditions (control areas). This model, called the</w:t>
      </w:r>
      <w:r>
        <w:t xml:space="preserve"> </w:t>
      </w:r>
      <w:r>
        <w:t xml:space="preserve">“Food Model”</w:t>
      </w:r>
      <w:r>
        <w:t xml:space="preserve">, used litters from control and food add study areas across all years of the food add experiment (2005 to 2017, n = 1178). This data set therefore had three individual treatment groups: control, bucket, and no bucket. We interacted food treatment with density. Thirdly, in the</w:t>
      </w:r>
      <w:r>
        <w:t xml:space="preserve"> </w:t>
      </w:r>
      <w:r>
        <w:t xml:space="preserve">‘Cache Model’</w:t>
      </w:r>
      <w:r>
        <w:t xml:space="preserve">, we tested how individual food availability (cache size) under natural food and density conditions (control areas) affected the covariance. The Cache Model used litters from control areas during years when midden cones were counted (2008 to 2025, n = 454). We interacted the mother’s previous autumn’s cache size with local density. Finally, in the</w:t>
      </w:r>
      <w:r>
        <w:t xml:space="preserve"> </w:t>
      </w:r>
      <w:r>
        <w:t xml:space="preserve">‘Rattle Model’</w:t>
      </w:r>
      <w:r>
        <w:t xml:space="preserve"> </w:t>
      </w:r>
      <w:r>
        <w:t xml:space="preserve">we investigated how increasing social cues of density affected the covariance between litter size and growth rate using the rattle playback experiments. The Rattle Model used litters from control and rattle study areas during years when playback experiments occurred (2010 and 2010 to 2022, n = 238). This data set therefore had two treatments: rattles and controls. We interacted treatment with density.</w:t>
      </w:r>
    </w:p>
    <w:p>
      <w:pPr>
        <w:pStyle w:val="BodyText"/>
      </w:pPr>
      <w:r>
        <w:t xml:space="preserve">… more details needed around what stats we actually extract etc. I figured this can wait.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dc:title>
  <dc:creator>Juliana Balluffi-Fry</dc:creator>
  <cp:keywords/>
  <dcterms:created xsi:type="dcterms:W3CDTF">2026-10-16T18:51:42Z</dcterms:created>
  <dcterms:modified xsi:type="dcterms:W3CDTF">2026-10-16T18:51:42Z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2026-09-17</vt:lpwstr>
  </property>
  <property fmtid="{D5CDD505-2E9C-101B-9397-08002B2CF9AE}" pid="3" name="output">
    <vt:lpwstr>word_document</vt:lpwstr>
  </property>
</Properties>
</file>