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9D43D" w14:textId="77777777" w:rsidR="00477B07" w:rsidRDefault="00000000">
      <w:pPr>
        <w:pStyle w:val="Title"/>
      </w:pPr>
      <w:r>
        <w:t>Results</w:t>
      </w:r>
    </w:p>
    <w:p w14:paraId="4F0FDF62" w14:textId="77777777" w:rsidR="00477B07" w:rsidRDefault="00000000">
      <w:pPr>
        <w:pStyle w:val="Heading2"/>
      </w:pPr>
      <w:bookmarkStart w:id="0" w:name="multi-choice-feeding-trials"/>
      <w:r>
        <w:t>Multi-choice feeding trials</w:t>
      </w:r>
    </w:p>
    <w:p w14:paraId="2EF9876C" w14:textId="77777777" w:rsidR="00477B07" w:rsidRDefault="00000000">
      <w:pPr>
        <w:pStyle w:val="FirstParagraph"/>
      </w:pPr>
      <w:r>
        <w:t>During the naive multi-choice feeding trial phase of the experiment, snowshoe hares ate an average of 58.39 ± 13.52 g DM/day across all diets. There was a significant effect of diet on intake rate during naive multi-choice trials (p = 0.01). Out of all diets, hares ate the most from diet B. Intake rates by diet translated to average intakes of 6.44 ± 2.04 and 26.06 ± 6.04 g DM/day of CP and NDF, respectively (Figure 2). The target intake of naive hares fell between the nutritional rails of Diets B and C.</w:t>
      </w:r>
    </w:p>
    <w:p w14:paraId="35CD0563" w14:textId="77777777" w:rsidR="00477B07" w:rsidRDefault="00000000">
      <w:pPr>
        <w:pStyle w:val="Heading2"/>
      </w:pPr>
      <w:bookmarkStart w:id="1" w:name="X8a24aefc43e16124428c5983a3115144375145d"/>
      <w:bookmarkEnd w:id="0"/>
      <w:r>
        <w:t>Single-choice feeding trials: results by treatment</w:t>
      </w:r>
    </w:p>
    <w:p w14:paraId="155487ED" w14:textId="77777777" w:rsidR="00477B07" w:rsidRDefault="00000000">
      <w:pPr>
        <w:pStyle w:val="FirstParagraph"/>
      </w:pPr>
      <w:r>
        <w:t>We conducted 39 single-choice feeding trials on 17 individuals. Hares ate on average 93.59 g DM/kg/day of food across all diets. There was an overall significant effect of diet on intake rate (p = 0; daily measure). According to the Tukey test, the intake rate for diet A differed significantly from all other diets while differences between diets B, C, and D were not significant (Figure 3, panel A). This pattern of intake rate resulted in hares on diets B and C to have CP and NDF intake rates closest to the target intake found in the multi-choice trials (Figure 3, panel B).</w:t>
      </w:r>
    </w:p>
    <w:p w14:paraId="66EF4438" w14:textId="77777777" w:rsidR="00477B07" w:rsidRDefault="00000000">
      <w:pPr>
        <w:pStyle w:val="BodyText"/>
      </w:pPr>
      <w:r>
        <w:t>There was an overall significant effect of diet on weight change during feeding trials (p = 0; trial measures). Diet A yielded the greatest weight loss over the three-day long trials (-123.69 %/day). Diets C and D caused slight weightloss; hares could only maintain their weight on diet B (16.79 %/day; Figure 4). The Tukey test showed that weight change differed significantly between diet A and all other diets (Figure 4).</w:t>
      </w:r>
    </w:p>
    <w:p w14:paraId="0419103C" w14:textId="77777777" w:rsidR="00477B07" w:rsidRDefault="00000000">
      <w:pPr>
        <w:pStyle w:val="BodyText"/>
      </w:pPr>
      <w:r>
        <w:t>Based on fecal composition and quantity, diet DMD followed a similar trend to weight change: diet A was significantly less digestible than all other diets. Diet B was also significantly less digestible than diet D. All other diet comparisons were not significant. Daily CP (p = 0) and NDF (p = 0) digestion rates also difference between diets. CP digestibility increased significantly as diet CP increased from A to B (Figure 5). Diet A and B produced similar NDF digestive rates, which were significantly higher than that of diet C. There was no significant difference in NDF digestibility of diet D and the other three diets (Figure 5).</w:t>
      </w:r>
    </w:p>
    <w:p w14:paraId="509072E3" w14:textId="77777777" w:rsidR="00477B07" w:rsidRDefault="00000000">
      <w:pPr>
        <w:pStyle w:val="Heading2"/>
      </w:pPr>
      <w:bookmarkStart w:id="2" w:name="X9c2b7df868ffbe9a688308676c14b95a401d5de"/>
      <w:bookmarkEnd w:id="1"/>
      <w:r>
        <w:t>Single-choice feeding trials: results by nutrient intake</w:t>
      </w:r>
    </w:p>
    <w:p w14:paraId="509444EE" w14:textId="77777777" w:rsidR="00477B07" w:rsidRDefault="00000000">
      <w:pPr>
        <w:pStyle w:val="FirstParagraph"/>
      </w:pPr>
      <w:r>
        <w:t>We used GAMs to test if response patterns in the thin-spline surface plots were significant. GAMs</w:t>
      </w:r>
    </w:p>
    <w:p w14:paraId="63254FD3" w14:textId="77777777" w:rsidR="00477B07" w:rsidRDefault="00000000">
      <w:pPr>
        <w:pStyle w:val="CaptionedFigure"/>
      </w:pPr>
      <w:r>
        <w:rPr>
          <w:noProof/>
        </w:rPr>
        <w:lastRenderedPageBreak/>
        <w:drawing>
          <wp:inline distT="0" distB="0" distL="0" distR="0" wp14:anchorId="7397A6FF" wp14:editId="03B554F8">
            <wp:extent cx="5610860" cy="5084618"/>
            <wp:effectExtent l="0" t="0" r="0" b="0"/>
            <wp:docPr id="23" name="Picture" descr="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
            <wp:cNvGraphicFramePr/>
            <a:graphic xmlns:a="http://schemas.openxmlformats.org/drawingml/2006/main">
              <a:graphicData uri="http://schemas.openxmlformats.org/drawingml/2006/picture">
                <pic:pic xmlns:pic="http://schemas.openxmlformats.org/drawingml/2006/picture">
                  <pic:nvPicPr>
                    <pic:cNvPr id="24" name="Picture" descr="Output/figures/intakebarandrail.jpeg"/>
                    <pic:cNvPicPr>
                      <a:picLocks noChangeAspect="1" noChangeArrowheads="1"/>
                    </pic:cNvPicPr>
                  </pic:nvPicPr>
                  <pic:blipFill>
                    <a:blip r:embed="rId7"/>
                    <a:stretch>
                      <a:fillRect/>
                    </a:stretch>
                  </pic:blipFill>
                  <pic:spPr bwMode="auto">
                    <a:xfrm>
                      <a:off x="0" y="0"/>
                      <a:ext cx="5646859" cy="5117241"/>
                    </a:xfrm>
                    <a:prstGeom prst="rect">
                      <a:avLst/>
                    </a:prstGeom>
                    <a:noFill/>
                    <a:ln w="9525">
                      <a:noFill/>
                      <a:headEnd/>
                      <a:tailEnd/>
                    </a:ln>
                  </pic:spPr>
                </pic:pic>
              </a:graphicData>
            </a:graphic>
          </wp:inline>
        </w:drawing>
      </w:r>
    </w:p>
    <w:p w14:paraId="29744B0A" w14:textId="77777777" w:rsidR="00477B07" w:rsidRDefault="00000000">
      <w:pPr>
        <w:pStyle w:val="ImageCaption"/>
      </w:pPr>
      <w:r>
        <w:t>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w:t>
      </w:r>
    </w:p>
    <w:p w14:paraId="6D6F7BFF" w14:textId="77777777" w:rsidR="00477B07" w:rsidRDefault="00000000">
      <w:pPr>
        <w:pStyle w:val="CaptionedFigure"/>
      </w:pPr>
      <w:r>
        <w:rPr>
          <w:noProof/>
        </w:rPr>
        <w:lastRenderedPageBreak/>
        <w:drawing>
          <wp:inline distT="0" distB="0" distL="0" distR="0" wp14:anchorId="270C4DA2" wp14:editId="2EE4FF4C">
            <wp:extent cx="5167745" cy="4765964"/>
            <wp:effectExtent l="0" t="0" r="0" b="0"/>
            <wp:docPr id="26" name="Picture" descr="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wp:cNvGraphicFramePr/>
            <a:graphic xmlns:a="http://schemas.openxmlformats.org/drawingml/2006/main">
              <a:graphicData uri="http://schemas.openxmlformats.org/drawingml/2006/picture">
                <pic:pic xmlns:pic="http://schemas.openxmlformats.org/drawingml/2006/picture">
                  <pic:nvPicPr>
                    <pic:cNvPr id="27" name="Picture" descr="Output/figures/weightchangebar.jpeg"/>
                    <pic:cNvPicPr>
                      <a:picLocks noChangeAspect="1" noChangeArrowheads="1"/>
                    </pic:cNvPicPr>
                  </pic:nvPicPr>
                  <pic:blipFill>
                    <a:blip r:embed="rId8"/>
                    <a:stretch>
                      <a:fillRect/>
                    </a:stretch>
                  </pic:blipFill>
                  <pic:spPr bwMode="auto">
                    <a:xfrm>
                      <a:off x="0" y="0"/>
                      <a:ext cx="5191094" cy="4787497"/>
                    </a:xfrm>
                    <a:prstGeom prst="rect">
                      <a:avLst/>
                    </a:prstGeom>
                    <a:noFill/>
                    <a:ln w="9525">
                      <a:noFill/>
                      <a:headEnd/>
                      <a:tailEnd/>
                    </a:ln>
                  </pic:spPr>
                </pic:pic>
              </a:graphicData>
            </a:graphic>
          </wp:inline>
        </w:drawing>
      </w:r>
    </w:p>
    <w:p w14:paraId="68F4DCC5" w14:textId="77777777" w:rsidR="00477B07" w:rsidRDefault="00000000">
      <w:pPr>
        <w:pStyle w:val="ImageCaption"/>
      </w:pPr>
      <w:r>
        <w:t>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14:paraId="14C66A94" w14:textId="77777777" w:rsidR="00477B07" w:rsidRDefault="00000000">
      <w:pPr>
        <w:pStyle w:val="CaptionedFigure"/>
      </w:pPr>
      <w:r>
        <w:rPr>
          <w:noProof/>
        </w:rPr>
        <w:lastRenderedPageBreak/>
        <w:drawing>
          <wp:inline distT="0" distB="0" distL="0" distR="0" wp14:anchorId="26BAFCF4" wp14:editId="60B7C368">
            <wp:extent cx="3228109" cy="6698673"/>
            <wp:effectExtent l="0" t="0" r="0" b="0"/>
            <wp:docPr id="29" name="Picture" descr="Figure 4. From top panel to bottom panel: dry matter digestibility (DMD), protein digestibility (DP), and neutral detergent fibre digestibility (DNDF),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
            <wp:cNvGraphicFramePr/>
            <a:graphic xmlns:a="http://schemas.openxmlformats.org/drawingml/2006/main">
              <a:graphicData uri="http://schemas.openxmlformats.org/drawingml/2006/picture">
                <pic:pic xmlns:pic="http://schemas.openxmlformats.org/drawingml/2006/picture">
                  <pic:nvPicPr>
                    <pic:cNvPr id="30" name="Picture" descr="Output/figures/dietdigestion.jpeg"/>
                    <pic:cNvPicPr>
                      <a:picLocks noChangeAspect="1" noChangeArrowheads="1"/>
                    </pic:cNvPicPr>
                  </pic:nvPicPr>
                  <pic:blipFill>
                    <a:blip r:embed="rId9"/>
                    <a:stretch>
                      <a:fillRect/>
                    </a:stretch>
                  </pic:blipFill>
                  <pic:spPr bwMode="auto">
                    <a:xfrm>
                      <a:off x="0" y="0"/>
                      <a:ext cx="3248532" cy="6741052"/>
                    </a:xfrm>
                    <a:prstGeom prst="rect">
                      <a:avLst/>
                    </a:prstGeom>
                    <a:noFill/>
                    <a:ln w="9525">
                      <a:noFill/>
                      <a:headEnd/>
                      <a:tailEnd/>
                    </a:ln>
                  </pic:spPr>
                </pic:pic>
              </a:graphicData>
            </a:graphic>
          </wp:inline>
        </w:drawing>
      </w:r>
    </w:p>
    <w:p w14:paraId="1AF370A8" w14:textId="77777777" w:rsidR="00477B07" w:rsidRDefault="00000000">
      <w:pPr>
        <w:pStyle w:val="ImageCaption"/>
      </w:pPr>
      <w:r>
        <w:t>Figure 4. From top panel to bottom panel: dry matter digestibility (DMD), protein digestibility (DP), and neutral detergent fibre digestibility (DNDF),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w:t>
      </w:r>
    </w:p>
    <w:p w14:paraId="08359C0D" w14:textId="77777777" w:rsidR="00477B07" w:rsidRDefault="00000000">
      <w:pPr>
        <w:pStyle w:val="SourceCode"/>
      </w:pPr>
      <w:r>
        <w:rPr>
          <w:rStyle w:val="CommentTok"/>
        </w:rPr>
        <w:lastRenderedPageBreak/>
        <w:t>#surface map to show weight change in response to NDF and CP</w:t>
      </w:r>
      <w:r>
        <w:br/>
      </w:r>
      <w:r>
        <w:rPr>
          <w:rStyle w:val="NormalTok"/>
        </w:rPr>
        <w:t xml:space="preserve">fitCP </w:t>
      </w:r>
      <w:r>
        <w:rPr>
          <w:rStyle w:val="OtherTok"/>
        </w:rPr>
        <w:t>&lt;-</w:t>
      </w:r>
      <w:r>
        <w:rPr>
          <w:rStyle w:val="NormalTok"/>
        </w:rPr>
        <w:t xml:space="preserve"> </w:t>
      </w:r>
      <w:r>
        <w:rPr>
          <w:rStyle w:val="FunctionTok"/>
        </w:rPr>
        <w:t>Tps</w:t>
      </w:r>
      <w:r>
        <w:rPr>
          <w:rStyle w:val="NormalTok"/>
        </w:rPr>
        <w:t>(trials[, .(DMI_NDF_bw, DMI_CP_bw)], trials</w:t>
      </w:r>
      <w:r>
        <w:rPr>
          <w:rStyle w:val="SpecialCharTok"/>
        </w:rPr>
        <w:t>$</w:t>
      </w:r>
      <w:r>
        <w:rPr>
          <w:rStyle w:val="NormalTok"/>
        </w:rPr>
        <w:t xml:space="preserve">Weight_change, </w:t>
      </w:r>
      <w:r>
        <w:rPr>
          <w:rStyle w:val="AttributeTok"/>
        </w:rPr>
        <w:t>scale.type =</w:t>
      </w:r>
      <w:r>
        <w:rPr>
          <w:rStyle w:val="NormalTok"/>
        </w:rPr>
        <w:t xml:space="preserve"> </w:t>
      </w:r>
      <w:r>
        <w:rPr>
          <w:rStyle w:val="StringTok"/>
        </w:rPr>
        <w:t>"range"</w:t>
      </w:r>
      <w:r>
        <w:rPr>
          <w:rStyle w:val="NormalTok"/>
        </w:rPr>
        <w:t>)</w:t>
      </w:r>
      <w:r>
        <w:br/>
      </w:r>
      <w:r>
        <w:rPr>
          <w:rStyle w:val="FunctionTok"/>
        </w:rPr>
        <w:t>surface</w:t>
      </w:r>
      <w:r>
        <w:rPr>
          <w:rStyle w:val="NormalTok"/>
        </w:rPr>
        <w:t xml:space="preserve">(fitCP, </w:t>
      </w:r>
      <w:r>
        <w:rPr>
          <w:rStyle w:val="AttributeTok"/>
        </w:rPr>
        <w:t>x =</w:t>
      </w:r>
      <w:r>
        <w:rPr>
          <w:rStyle w:val="NormalTok"/>
        </w:rPr>
        <w:t xml:space="preserve"> </w:t>
      </w:r>
      <w:r>
        <w:rPr>
          <w:rStyle w:val="StringTok"/>
        </w:rPr>
        <w:t>"NDF intake (g DM/kg^0.75/day)"</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"CP intake (g DM/kg^0.75/day)"</w:t>
      </w:r>
      <w:r>
        <w:rPr>
          <w:rStyle w:val="NormalTok"/>
        </w:rPr>
        <w:t>)</w:t>
      </w:r>
    </w:p>
    <w:p w14:paraId="0BB048FC" w14:textId="77777777" w:rsidR="00477B07" w:rsidRDefault="00000000">
      <w:pPr>
        <w:pStyle w:val="FirstParagraph"/>
      </w:pPr>
      <w:r>
        <w:rPr>
          <w:noProof/>
        </w:rPr>
        <w:drawing>
          <wp:inline distT="0" distB="0" distL="0" distR="0" wp14:anchorId="49C1C8D5" wp14:editId="2A426162">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results_files/figure-docx/unnamed-chunk-1-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04ECB01C" w14:textId="77777777" w:rsidR="00477B07" w:rsidRDefault="00000000">
      <w:pPr>
        <w:pStyle w:val="BodyText"/>
      </w:pPr>
      <w:r>
        <w:t>Above: Surface maps visualizing weight change performance (%/day) in relation to CP and NDF intake (g DM/kg/day).</w:t>
      </w:r>
    </w:p>
    <w:p w14:paraId="072CDD5E" w14:textId="77777777" w:rsidR="00477B07" w:rsidRDefault="00000000">
      <w:pPr>
        <w:pStyle w:val="SourceCode"/>
      </w:pPr>
      <w:r>
        <w:rPr>
          <w:rStyle w:val="CommentTok"/>
        </w:rPr>
        <w:t>#surface map showing weight change in response to intake of digestable protein and NDF</w:t>
      </w:r>
      <w:r>
        <w:br/>
      </w:r>
      <w:r>
        <w:rPr>
          <w:rStyle w:val="NormalTok"/>
        </w:rPr>
        <w:t xml:space="preserve">fitDP </w:t>
      </w:r>
      <w:r>
        <w:rPr>
          <w:rStyle w:val="OtherTok"/>
        </w:rPr>
        <w:t>&lt;-</w:t>
      </w:r>
      <w:r>
        <w:rPr>
          <w:rStyle w:val="NormalTok"/>
        </w:rPr>
        <w:t xml:space="preserve"> </w:t>
      </w:r>
      <w:r>
        <w:rPr>
          <w:rStyle w:val="FunctionTok"/>
        </w:rPr>
        <w:t>Tps</w:t>
      </w:r>
      <w:r>
        <w:rPr>
          <w:rStyle w:val="NormalTok"/>
        </w:rPr>
        <w:t>(trials[, .(DNDFI, DPI)], trials</w:t>
      </w:r>
      <w:r>
        <w:rPr>
          <w:rStyle w:val="SpecialCharTok"/>
        </w:rPr>
        <w:t>$</w:t>
      </w:r>
      <w:r>
        <w:rPr>
          <w:rStyle w:val="NormalTok"/>
        </w:rPr>
        <w:t xml:space="preserve">Weight_change, </w:t>
      </w:r>
      <w:r>
        <w:rPr>
          <w:rStyle w:val="AttributeTok"/>
        </w:rPr>
        <w:t>scale.type =</w:t>
      </w:r>
      <w:r>
        <w:rPr>
          <w:rStyle w:val="NormalTok"/>
        </w:rPr>
        <w:t xml:space="preserve"> </w:t>
      </w:r>
      <w:r>
        <w:rPr>
          <w:rStyle w:val="StringTok"/>
        </w:rPr>
        <w:t>"range"</w:t>
      </w:r>
      <w:r>
        <w:rPr>
          <w:rStyle w:val="NormalTok"/>
        </w:rPr>
        <w:t>)</w:t>
      </w:r>
      <w:r>
        <w:br/>
      </w:r>
      <w:r>
        <w:rPr>
          <w:rStyle w:val="FunctionTok"/>
        </w:rPr>
        <w:t>surface</w:t>
      </w:r>
      <w:r>
        <w:rPr>
          <w:rStyle w:val="NormalTok"/>
        </w:rPr>
        <w:t xml:space="preserve">(fitDP, </w:t>
      </w:r>
      <w:r>
        <w:rPr>
          <w:rStyle w:val="AttributeTok"/>
        </w:rPr>
        <w:t>x =</w:t>
      </w:r>
      <w:r>
        <w:rPr>
          <w:rStyle w:val="NormalTok"/>
        </w:rPr>
        <w:t xml:space="preserve"> </w:t>
      </w:r>
      <w:r>
        <w:rPr>
          <w:rStyle w:val="StringTok"/>
        </w:rPr>
        <w:t>"Digestible NDF intake (g DM/kg^0.75/day)"</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"Digestible CP intake (g DM/kg^0.75/day)"</w:t>
      </w:r>
      <w:r>
        <w:rPr>
          <w:rStyle w:val="NormalTok"/>
        </w:rPr>
        <w:t>)</w:t>
      </w:r>
    </w:p>
    <w:p w14:paraId="5F3525A8" w14:textId="77777777" w:rsidR="00477B07" w:rsidRDefault="00000000">
      <w:pPr>
        <w:pStyle w:val="FirstParagraph"/>
      </w:pPr>
      <w:r>
        <w:rPr>
          <w:noProof/>
        </w:rPr>
        <w:lastRenderedPageBreak/>
        <w:drawing>
          <wp:inline distT="0" distB="0" distL="0" distR="0" wp14:anchorId="4F9EA373" wp14:editId="13F14B1F">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results_files/figure-docx/unnamed-chunk-2-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14F274F3" w14:textId="77777777" w:rsidR="00477B07" w:rsidRDefault="00000000">
      <w:pPr>
        <w:pStyle w:val="BodyText"/>
      </w:pPr>
      <w:r>
        <w:t>Above: Surface map visualizing weight change performance (%/day) in relation to digestible protein and digestible NDF intake (g DM/kg/day).</w:t>
      </w:r>
    </w:p>
    <w:p w14:paraId="347D5CBA" w14:textId="77777777" w:rsidR="00477B07" w:rsidRDefault="00000000">
      <w:pPr>
        <w:pStyle w:val="SourceCode"/>
      </w:pPr>
      <w:r>
        <w:rPr>
          <w:rStyle w:val="CommentTok"/>
        </w:rPr>
        <w:t>#surface map showing DMD in response to protein-fibre balance</w:t>
      </w:r>
      <w:r>
        <w:br/>
      </w:r>
      <w:r>
        <w:br/>
      </w:r>
      <w:r>
        <w:rPr>
          <w:rStyle w:val="NormalTok"/>
        </w:rPr>
        <w:t xml:space="preserve">dmd </w:t>
      </w:r>
      <w:r>
        <w:rPr>
          <w:rStyle w:val="OtherTok"/>
        </w:rPr>
        <w:t>&lt;-</w:t>
      </w:r>
      <w:r>
        <w:rPr>
          <w:rStyle w:val="NormalTok"/>
        </w:rPr>
        <w:t xml:space="preserve"> </w:t>
      </w:r>
      <w:r>
        <w:rPr>
          <w:rStyle w:val="FunctionTok"/>
        </w:rPr>
        <w:t>Tps</w:t>
      </w:r>
      <w:r>
        <w:rPr>
          <w:rStyle w:val="NormalTok"/>
        </w:rPr>
        <w:t>(trials[, .(DMI_NDF_bw, DMI_CP_bw)], trials</w:t>
      </w:r>
      <w:r>
        <w:rPr>
          <w:rStyle w:val="SpecialCharTok"/>
        </w:rPr>
        <w:t>$</w:t>
      </w:r>
      <w:r>
        <w:rPr>
          <w:rStyle w:val="NormalTok"/>
        </w:rPr>
        <w:t xml:space="preserve">DMD, </w:t>
      </w:r>
      <w:r>
        <w:rPr>
          <w:rStyle w:val="AttributeTok"/>
        </w:rPr>
        <w:t>scale.type =</w:t>
      </w:r>
      <w:r>
        <w:rPr>
          <w:rStyle w:val="NormalTok"/>
        </w:rPr>
        <w:t xml:space="preserve"> </w:t>
      </w:r>
      <w:r>
        <w:rPr>
          <w:rStyle w:val="StringTok"/>
        </w:rPr>
        <w:t>"range"</w:t>
      </w:r>
      <w:r>
        <w:rPr>
          <w:rStyle w:val="NormalTok"/>
        </w:rPr>
        <w:t>)</w:t>
      </w:r>
      <w:r>
        <w:br/>
      </w:r>
      <w:r>
        <w:rPr>
          <w:rStyle w:val="FunctionTok"/>
        </w:rPr>
        <w:t>surface</w:t>
      </w:r>
      <w:r>
        <w:rPr>
          <w:rStyle w:val="NormalTok"/>
        </w:rPr>
        <w:t xml:space="preserve">(dmd, </w:t>
      </w:r>
      <w:r>
        <w:rPr>
          <w:rStyle w:val="AttributeTok"/>
        </w:rPr>
        <w:t>x =</w:t>
      </w:r>
      <w:r>
        <w:rPr>
          <w:rStyle w:val="NormalTok"/>
        </w:rPr>
        <w:t xml:space="preserve"> </w:t>
      </w:r>
      <w:r>
        <w:rPr>
          <w:rStyle w:val="StringTok"/>
        </w:rPr>
        <w:t>"NDF intake (g DM/kg^0.75/day)"</w:t>
      </w:r>
      <w:r>
        <w:rPr>
          <w:rStyle w:val="NormalTok"/>
        </w:rPr>
        <w:t xml:space="preserve">, </w:t>
      </w:r>
      <w:r>
        <w:br/>
      </w:r>
      <w:r>
        <w:rPr>
          <w:rStyle w:val="NormalTok"/>
        </w:rPr>
        <w:t xml:space="preserve">        </w:t>
      </w:r>
      <w:r>
        <w:rPr>
          <w:rStyle w:val="AttributeTok"/>
        </w:rPr>
        <w:t>y =</w:t>
      </w:r>
      <w:r>
        <w:rPr>
          <w:rStyle w:val="NormalTok"/>
        </w:rPr>
        <w:t xml:space="preserve"> </w:t>
      </w:r>
      <w:r>
        <w:rPr>
          <w:rStyle w:val="StringTok"/>
        </w:rPr>
        <w:t>"CP intake (g DM/kg^0.75/day)"</w:t>
      </w:r>
      <w:r>
        <w:rPr>
          <w:rStyle w:val="NormalTok"/>
        </w:rPr>
        <w:t>)</w:t>
      </w:r>
    </w:p>
    <w:p w14:paraId="485B2C3A" w14:textId="77777777" w:rsidR="00477B07" w:rsidRDefault="00000000">
      <w:pPr>
        <w:pStyle w:val="FirstParagraph"/>
      </w:pPr>
      <w:r>
        <w:rPr>
          <w:noProof/>
        </w:rPr>
        <w:lastRenderedPageBreak/>
        <w:drawing>
          <wp:inline distT="0" distB="0" distL="0" distR="0" wp14:anchorId="2ADB9DA9" wp14:editId="463C151D">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results_files/figure-docx/unnamed-chunk-3-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6CBC930C" w14:textId="77777777" w:rsidR="00477B07" w:rsidRDefault="00000000">
      <w:pPr>
        <w:pStyle w:val="Heading2"/>
      </w:pPr>
      <w:bookmarkStart w:id="3" w:name="additional-figures"/>
      <w:bookmarkEnd w:id="2"/>
      <w:r>
        <w:t>Additional figures</w:t>
      </w:r>
    </w:p>
    <w:p w14:paraId="1962155E" w14:textId="77777777" w:rsidR="00477B07" w:rsidRDefault="00000000">
      <w:pPr>
        <w:pStyle w:val="CaptionedFigure"/>
      </w:pPr>
      <w:r>
        <w:rPr>
          <w:noProof/>
        </w:rPr>
        <w:drawing>
          <wp:inline distT="0" distB="0" distL="0" distR="0" wp14:anchorId="0A02E6A2" wp14:editId="2C569A50">
            <wp:extent cx="3810000" cy="2540000"/>
            <wp:effectExtent l="0" t="0" r="0" b="0"/>
            <wp:docPr id="42" name="Picture" descr="Excretion rates"/>
            <wp:cNvGraphicFramePr/>
            <a:graphic xmlns:a="http://schemas.openxmlformats.org/drawingml/2006/main">
              <a:graphicData uri="http://schemas.openxmlformats.org/drawingml/2006/picture">
                <pic:pic xmlns:pic="http://schemas.openxmlformats.org/drawingml/2006/picture">
                  <pic:nvPicPr>
                    <pic:cNvPr id="43" name="Picture" descr="Output/figures/excretionrates.jpg"/>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14:paraId="62DA811A" w14:textId="77777777" w:rsidR="00477B07" w:rsidRDefault="00000000">
      <w:pPr>
        <w:pStyle w:val="ImageCaption"/>
      </w:pPr>
      <w:r>
        <w:t>Excretion rates</w:t>
      </w:r>
      <w:bookmarkEnd w:id="3"/>
    </w:p>
    <w:sectPr w:rsidR="00477B0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310DE" w14:textId="77777777" w:rsidR="002975C3" w:rsidRDefault="002975C3">
      <w:pPr>
        <w:spacing w:after="0"/>
      </w:pPr>
      <w:r>
        <w:separator/>
      </w:r>
    </w:p>
  </w:endnote>
  <w:endnote w:type="continuationSeparator" w:id="0">
    <w:p w14:paraId="1F861DFC" w14:textId="77777777" w:rsidR="002975C3" w:rsidRDefault="002975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81F16" w14:textId="77777777" w:rsidR="002975C3" w:rsidRDefault="002975C3">
      <w:r>
        <w:separator/>
      </w:r>
    </w:p>
  </w:footnote>
  <w:footnote w:type="continuationSeparator" w:id="0">
    <w:p w14:paraId="472A4193" w14:textId="77777777" w:rsidR="002975C3" w:rsidRDefault="002975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73C85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407722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7B07"/>
    <w:rsid w:val="002975C3"/>
    <w:rsid w:val="00477B07"/>
    <w:rsid w:val="00D34EC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AE5DA"/>
  <w15:docId w15:val="{7E14FA21-B967-46AD-B17B-ADF4A8FD4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Pages>
  <Words>802</Words>
  <Characters>4574</Characters>
  <Application>Microsoft Office Word</Application>
  <DocSecurity>0</DocSecurity>
  <Lines>38</Lines>
  <Paragraphs>10</Paragraphs>
  <ScaleCrop>false</ScaleCrop>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cp:lastModifiedBy>Juliana Balluffi-Fry</cp:lastModifiedBy>
  <cp:revision>2</cp:revision>
  <dcterms:created xsi:type="dcterms:W3CDTF">2023-08-03T23:03:00Z</dcterms:created>
  <dcterms:modified xsi:type="dcterms:W3CDTF">2023-08-03T23:04:00Z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