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8.png" ContentType="image/png"/>
  <Override PartName="/word/media/rId30.png" ContentType="image/png"/>
  <Override PartName="/word/media/rId36.png" ContentType="image/png"/>
  <Override PartName="/word/media/rId34.png" ContentType="image/png"/>
  <Override PartName="/word/media/rId35.png" ContentType="image/png"/>
  <Override PartName="/word/media/rId31.png" ContentType="image/png"/>
  <Override PartName="/word/media/rId32.png" ContentType="image/png"/>
  <Override PartName="/word/media/rId37.png" ContentType="image/png"/>
  <Override PartName="/word/media/rId29.png" ContentType="image/png"/>
  <Override PartName="/word/media/rId44.png" ContentType="image/png"/>
  <Override PartName="/word/media/rId63.png" ContentType="image/png"/>
  <Override PartName="/word/media/rId59.png" ContentType="image/png"/>
  <Override PartName="/word/media/rId43.png" ContentType="image/png"/>
  <Override PartName="/word/media/rId42.png" ContentType="image/png"/>
  <Override PartName="/word/media/rId46.png" ContentType="image/png"/>
  <Override PartName="/word/media/rId61.png" ContentType="image/png"/>
  <Override PartName="/word/media/rId47.png" ContentType="image/png"/>
  <Override PartName="/word/media/rId48.png" ContentType="image/png"/>
  <Override PartName="/word/media/rId49.png" ContentType="image/png"/>
  <Override PartName="/word/media/rId50.png" ContentType="image/png"/>
  <Override PartName="/word/media/rId51.png" ContentType="image/png"/>
  <Override PartName="/word/media/rId52.png" ContentType="image/png"/>
  <Override PartName="/word/media/rId53.png" ContentType="image/png"/>
  <Override PartName="/word/media/rId54.png" ContentType="image/png"/>
  <Override PartName="/word/media/rId55.png" ContentType="image/png"/>
  <Override PartName="/word/media/rId56.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5d315705d7ace54d46e9d07736dd0c2a0ed1c0"/>
      <w:r>
        <w:t xml:space="preserve">MXL-006 — update memo for the non-provisional conversion</w:t>
      </w:r>
      <w:bookmarkEnd w:id="20"/>
    </w:p>
    <w:p>
      <w:pPr>
        <w:pStyle w:val="FirstParagraph"/>
      </w:pPr>
      <w:r>
        <w:rPr>
          <w:b/>
        </w:rPr>
        <w:t xml:space="preserve">To:</w:t>
      </w:r>
      <w:r>
        <w:t xml:space="preserve"> </w:t>
      </w:r>
      <w:r>
        <w:t xml:space="preserve">patent counsel (MXL-006,</w:t>
      </w:r>
      <w:r>
        <w:t xml:space="preserve"> </w:t>
      </w:r>
      <w:r>
        <w:t xml:space="preserve">“</w:t>
      </w:r>
      <w:r>
        <w:t xml:space="preserve">Chip Architectures Enabled by Integrated Photonic Cooling for High-Performance Computing</w:t>
      </w:r>
      <w:r>
        <w:t xml:space="preserve">”</w:t>
      </w:r>
      <w:r>
        <w:t xml:space="preserve">)</w:t>
      </w:r>
      <w:r>
        <w:t xml:space="preserve"> </w:t>
      </w:r>
      <w:r>
        <w:rPr>
          <w:b/>
        </w:rPr>
        <w:t xml:space="preserve">From:</w:t>
      </w:r>
      <w:r>
        <w:t xml:space="preserve"> </w:t>
      </w:r>
      <w:r>
        <w:t xml:space="preserve">Maxwell Labs, MXL-HotGauge co-design programme (J. Balma)</w:t>
      </w:r>
      <w:r>
        <w:t xml:space="preserve"> </w:t>
      </w:r>
      <w:r>
        <w:rPr>
          <w:b/>
        </w:rPr>
        <w:t xml:space="preserve">Date:</w:t>
      </w:r>
      <w:r>
        <w:t xml:space="preserve"> </w:t>
      </w:r>
      <w:r>
        <w:t xml:space="preserve">12 September 2026; updated 13 and 19 September (19 Sep evening: Sections 5, 6.6, 6.6a, 6.6b, 7A, 8 — the two-sink stack, the designed fingers, the rail model); updated 27 October (6.6c, 8.2, FIG. 10 — the DRAM / HBM die beside, under and on top of the compute die, measured)</w:t>
      </w:r>
      <w:r>
        <w:t xml:space="preserve"> </w:t>
      </w:r>
      <w:r>
        <w:rPr>
          <w:b/>
        </w:rPr>
        <w:t xml:space="preserve">Re:</w:t>
      </w:r>
      <w:r>
        <w:t xml:space="preserve"> </w:t>
      </w:r>
      <w:r>
        <w:t xml:space="preserve">what the provisional (filed 13 Oct 2025) says, what the device book now says (</w:t>
      </w:r>
      <w:r>
        <w:rPr>
          <w:i/>
        </w:rPr>
        <w:t xml:space="preserve">Photonic Cooling Devices</w:t>
      </w:r>
      <w:r>
        <w:t xml:space="preserve">, v100, 9 Sep 2026, Part VI), what has been simulated since, and the framing we recommend for the specific claims</w:t>
      </w:r>
    </w:p>
    <w:p>
      <w:pPr>
        <w:pStyle w:val="BodyText"/>
      </w:pPr>
      <w:r>
        <w:rPr>
          <w:b/>
        </w:rPr>
        <w:t xml:space="preserve">Attachments:</w:t>
      </w:r>
      <w:r>
        <w:t xml:space="preserve"> </w:t>
      </w:r>
      <w:r>
        <w:rPr>
          <w:rStyle w:val="VerbatimChar"/>
        </w:rPr>
        <w:t xml:space="preserve">figures/</w:t>
      </w:r>
      <w:r>
        <w:t xml:space="preserve"> </w:t>
      </w:r>
      <w:r>
        <w:t xml:space="preserve">(schematics of the architectural evolution by degree of integration; the evidence figures; the evidence matrix),</w:t>
      </w:r>
      <w:r>
        <w:t xml:space="preserve"> </w:t>
      </w:r>
      <w:r>
        <w:rPr>
          <w:rStyle w:val="VerbatimChar"/>
        </w:rPr>
        <w:t xml:space="preserve">results/</w:t>
      </w:r>
      <w:r>
        <w:t xml:space="preserve"> </w:t>
      </w:r>
      <w:r>
        <w:t xml:space="preserve">(the evidence JSON files behind every number quoted here), and the register that governs what may be quoted (</w:t>
      </w:r>
      <w:r>
        <w:rPr>
          <w:rStyle w:val="VerbatimChar"/>
        </w:rPr>
        <w:t xml:space="preserve">RESULTS_REGISTER.md</w:t>
      </w:r>
      <w:r>
        <w:t xml:space="preserve">, copied into</w:t>
      </w:r>
      <w:r>
        <w:t xml:space="preserve"> </w:t>
      </w:r>
      <w:r>
        <w:rPr>
          <w:rStyle w:val="VerbatimChar"/>
        </w:rPr>
        <w:t xml:space="preserve">results/</w:t>
      </w:r>
      <w:r>
        <w:t xml:space="preserve">).</w:t>
      </w:r>
    </w:p>
    <w:p>
      <w:r>
        <w:pict>
          <v:rect style="width:0;height:1.5pt" o:hralign="center" o:hrstd="t" o:hr="t"/>
        </w:pict>
      </w:r>
    </w:p>
    <w:p>
      <w:pPr>
        <w:pStyle w:val="Heading2"/>
      </w:pPr>
      <w:bookmarkStart w:id="21" w:name="executive-summary"/>
      <w:r>
        <w:t xml:space="preserve">0. Executive summary</w:t>
      </w:r>
      <w:bookmarkEnd w:id="21"/>
    </w:p>
    <w:p>
      <w:pPr>
        <w:numPr>
          <w:ilvl w:val="0"/>
          <w:numId w:val="1001"/>
        </w:numPr>
      </w:pPr>
      <w:r>
        <w:rPr>
          <w:b/>
        </w:rPr>
        <w:t xml:space="preserve">The provisional’s central mechanism survives and is now simulated end to end:</w:t>
      </w:r>
      <w:r>
        <w:t xml:space="preserve"> </w:t>
      </w:r>
      <w:r>
        <w:t xml:space="preserve">a photonic cold plate of anti-Stokes tiles above the silicon, commanded per tile from a coupled thermal solve, holds a die that no conventional package can hold. On a 34-core 7 nm reference die under an 88 CFM air-cooled package, the conventional package loses its steady state at 0.60–1.00 W/mm² (leakage runaway through the hottest complex-ALU), an</w:t>
      </w:r>
      <w:r>
        <w:t xml:space="preserve"> </w:t>
      </w:r>
      <w:r>
        <w:rPr>
          <w:i/>
        </w:rPr>
        <w:t xml:space="preserve">unpowered</w:t>
      </w:r>
      <w:r>
        <w:t xml:space="preserve"> </w:t>
      </w:r>
      <w:r>
        <w:t xml:space="preserve">array of the same film fails at 1.20, and the</w:t>
      </w:r>
      <w:r>
        <w:t xml:space="preserve"> </w:t>
      </w:r>
      <w:r>
        <w:rPr>
          <w:i/>
        </w:rPr>
        <w:t xml:space="preserve">laser-driven</w:t>
      </w:r>
      <w:r>
        <w:t xml:space="preserve"> </w:t>
      </w:r>
      <w:r>
        <w:t xml:space="preserve">array holds 1.20 through 3.50 W/mm² (the seed-shape planner first recorded reached 2.40; the per-block planner of §P0.29 reaches 3.50 with the array lifting 99 % of the die’s heat, and 4.00 is bistable), ending on energy conservation, not on the extractor. That is the fact pattern the independent claims should be built on: the rescue is a</w:t>
      </w:r>
      <w:r>
        <w:t xml:space="preserve"> </w:t>
      </w:r>
      <w:r>
        <w:rPr>
          <w:b/>
        </w:rPr>
        <w:t xml:space="preserve">difference between a driven array and an undriven one of the same material</w:t>
      </w:r>
      <w:r>
        <w:t xml:space="preserve">, measured 35 of 35 times across three leakage models.</w:t>
      </w:r>
    </w:p>
    <w:p>
      <w:pPr>
        <w:numPr>
          <w:ilvl w:val="0"/>
          <w:numId w:val="1001"/>
        </w:numPr>
      </w:pPr>
      <w:r>
        <w:rPr>
          <w:b/>
        </w:rPr>
        <w:t xml:space="preserve">Several quantitative statements in the provisional are not supported by our simulations and, in three cases, contradict them.</w:t>
      </w:r>
      <w:r>
        <w:t xml:space="preserve"> </w:t>
      </w:r>
      <w:r>
        <w:t xml:space="preserve">They should be removed from the claims or restated as capability statements about the</w:t>
      </w:r>
      <w:r>
        <w:t xml:space="preserve"> </w:t>
      </w:r>
      <w:r>
        <w:rPr>
          <w:i/>
        </w:rPr>
        <w:t xml:space="preserve">film</w:t>
      </w:r>
      <w:r>
        <w:t xml:space="preserve">, not about the</w:t>
      </w:r>
      <w:r>
        <w:t xml:space="preserve"> </w:t>
      </w:r>
      <w:r>
        <w:rPr>
          <w:i/>
        </w:rPr>
        <w:t xml:space="preserve">die</w:t>
      </w:r>
      <w:r>
        <w:t xml:space="preserve">:</w:t>
      </w:r>
      <w:r>
        <w:t xml:space="preserve"> </w:t>
      </w:r>
      <w:r>
        <w:t xml:space="preserve">“</w:t>
      </w:r>
      <w:r>
        <w:t xml:space="preserve">&gt;1000 W/mm² functional units</w:t>
      </w:r>
      <w:r>
        <w:t xml:space="preserve">”</w:t>
      </w:r>
      <w:r>
        <w:t xml:space="preserve"> </w:t>
      </w:r>
      <w:r>
        <w:t xml:space="preserve">(no simulated die asks a tile for more than 5.3 W/mm² steady or 13 W/mm² for 10 ms; the film’s 813 W/mm² at 300 K is 60–150× under-used),</w:t>
      </w:r>
      <w:r>
        <w:t xml:space="preserve"> </w:t>
      </w:r>
      <w:r>
        <w:t xml:space="preserve">“</w:t>
      </w:r>
      <w:r>
        <w:t xml:space="preserve">&gt;10 GHz</w:t>
      </w:r>
      <w:r>
        <w:t xml:space="preserve">”</w:t>
      </w:r>
      <w:r>
        <w:t xml:space="preserve"> </w:t>
      </w:r>
      <w:r>
        <w:t xml:space="preserve">(the clock ceiling is the transistor’s V/F curve, 4.17 GHz on the simulated device, and cooling does not move it),</w:t>
      </w:r>
      <w:r>
        <w:t xml:space="preserve"> </w:t>
      </w:r>
      <w:r>
        <w:t xml:space="preserve">“</w:t>
      </w:r>
      <w:r>
        <w:t xml:space="preserve">temperatures reduced by 160 °C</w:t>
      </w:r>
      <w:r>
        <w:t xml:space="preserve">”</w:t>
      </w:r>
      <w:r>
        <w:t xml:space="preserve"> </w:t>
      </w:r>
      <w:r>
        <w:t xml:space="preserve">(the measured lifts are 7–40 K at matched power),</w:t>
      </w:r>
      <w:r>
        <w:t xml:space="preserve"> </w:t>
      </w:r>
      <w:r>
        <w:t xml:space="preserve">“</w:t>
      </w:r>
      <w:r>
        <w:t xml:space="preserve">&gt;10× COP</w:t>
      </w:r>
      <w:r>
        <w:t xml:space="preserve">”</w:t>
      </w:r>
      <w:r>
        <w:t xml:space="preserve"> </w:t>
      </w:r>
      <w:r>
        <w:t xml:space="preserve">(electrical COP 0.27, effective 1.64 with recovery),</w:t>
      </w:r>
      <w:r>
        <w:t xml:space="preserve"> </w:t>
      </w:r>
      <w:r>
        <w:t xml:space="preserve">“</w:t>
      </w:r>
      <w:r>
        <w:t xml:space="preserve">&gt;30 % recovery / net export</w:t>
      </w:r>
      <w:r>
        <w:t xml:space="preserve">”</w:t>
      </w:r>
      <w:r>
        <w:t xml:space="preserve"> </w:t>
      </w:r>
      <w:r>
        <w:t xml:space="preserve">(the export crossing is 614 K on the device model; on any current rung recovery is a cost reduction), and branch-prediction-driven laser modulation (not simulated; feed-forward from the</w:t>
      </w:r>
      <w:r>
        <w:t xml:space="preserve"> </w:t>
      </w:r>
      <w:r>
        <w:rPr>
          <w:i/>
        </w:rPr>
        <w:t xml:space="preserve">power monitor</w:t>
      </w:r>
      <w:r>
        <w:t xml:space="preserve"> </w:t>
      </w:r>
      <w:r>
        <w:t xml:space="preserve">is).</w:t>
      </w:r>
    </w:p>
    <w:p>
      <w:pPr>
        <w:numPr>
          <w:ilvl w:val="0"/>
          <w:numId w:val="1001"/>
        </w:numPr>
      </w:pPr>
      <w:r>
        <w:rPr>
          <w:b/>
        </w:rPr>
        <w:t xml:space="preserve">The device book’s Part VI (v100) is ahead of the filing in mechanism and behind our measurements in three places.</w:t>
      </w:r>
      <w:r>
        <w:t xml:space="preserve"> </w:t>
      </w:r>
      <w:r>
        <w:t xml:space="preserve">It correctly frames the architectural budget (its eq. 1.32/1.33) and the hybrid regime; our measured ladder confirms the hybrid cap</w:t>
      </w:r>
      <w:r>
        <w:t xml:space="preserve"> </w:t>
      </w:r>
      <w:r>
        <w:rPr>
          <w:i/>
        </w:rPr>
        <w:t xml:space="preserve">beats</w:t>
      </w:r>
      <w:r>
        <w:t xml:space="preserve"> </w:t>
      </w:r>
      <w:r>
        <w:t xml:space="preserve">its 1/(1−s) form at s = 0.5 (2.6× vs 2×) and</w:t>
      </w:r>
      <w:r>
        <w:t xml:space="preserve"> </w:t>
      </w:r>
      <w:r>
        <w:rPr>
          <w:i/>
        </w:rPr>
        <w:t xml:space="preserve">ends</w:t>
      </w:r>
      <w:r>
        <w:t xml:space="preserve"> </w:t>
      </w:r>
      <w:r>
        <w:t xml:space="preserve">where s → 1. But (a) its three-zone hot/cold die template (§10.9, Table 10.8) is falsified on a monolithic die (40 W of removal buys 1.24 K of gradient) and, as of 11 Sep, also on a two-die stack with the storage die between the compute die and the sink (holding the cache at 280 K costs the whole die at every bond conductivity); (b) Yb:YLF, which Table 10.8 puts in the cold zone, is withdrawn as a zone material (Cr:LiSAF is the storage-zone material, the SMILES-R640 dye the hot-zone material); (c) its</w:t>
      </w:r>
      <w:r>
        <w:t xml:space="preserve"> </w:t>
      </w:r>
      <w:r>
        <w:t xml:space="preserve">“</w:t>
      </w:r>
      <w:r>
        <w:t xml:space="preserve">uniform-temperature</w:t>
      </w:r>
      <w:r>
        <w:t xml:space="preserve">”</w:t>
      </w:r>
      <w:r>
        <w:t xml:space="preserve"> </w:t>
      </w:r>
      <w:r>
        <w:t xml:space="preserve">near-term story omits what our fields show is the</w:t>
      </w:r>
      <w:r>
        <w:t xml:space="preserve"> </w:t>
      </w:r>
      <w:r>
        <w:rPr>
          <w:i/>
        </w:rPr>
        <w:t xml:space="preserve">actual</w:t>
      </w:r>
      <w:r>
        <w:t xml:space="preserve"> </w:t>
      </w:r>
      <w:r>
        <w:t xml:space="preserve">next constraint — power delivery and thermal clock skew, both of which grow with every rung the laser buys.</w:t>
      </w:r>
    </w:p>
    <w:p>
      <w:pPr>
        <w:numPr>
          <w:ilvl w:val="0"/>
          <w:numId w:val="1001"/>
        </w:numPr>
      </w:pPr>
      <w:r>
        <w:rPr>
          <w:b/>
        </w:rPr>
        <w:t xml:space="preserve">Recommended claim framing (Section 6):</w:t>
      </w:r>
      <w:r>
        <w:t xml:space="preserve"> </w:t>
      </w:r>
      <w:r>
        <w:t xml:space="preserve">an independent apparatus claim on the driven, per-tile-commanded array whose plan is derived from a coupled power–temperature solve (the</w:t>
      </w:r>
      <w:r>
        <w:t xml:space="preserve"> </w:t>
      </w:r>
      <w:r>
        <w:rPr>
          <w:i/>
        </w:rPr>
        <w:t xml:space="preserve">planner</w:t>
      </w:r>
      <w:r>
        <w:t xml:space="preserve">), with dependent claims on the measured structural facts (pitch ≥ 200 µm plateau, partial coverage, burial depth, materials per zone, the energy-conservation top rung); an independent architecture claim on the</w:t>
      </w:r>
      <w:r>
        <w:t xml:space="preserve"> </w:t>
      </w:r>
      <w:r>
        <w:rPr>
          <w:b/>
        </w:rPr>
        <w:t xml:space="preserve">execution cluster densified under the array with the power-distribution network re-sized in proportion to the current-density ratio</w:t>
      </w:r>
      <w:r>
        <w:t xml:space="preserve"> </w:t>
      </w:r>
      <w:r>
        <w:t xml:space="preserve">(the first design change measured to survive); an independent method claim on</w:t>
      </w:r>
      <w:r>
        <w:t xml:space="preserve"> </w:t>
      </w:r>
      <w:r>
        <w:rPr>
          <w:b/>
        </w:rPr>
        <w:t xml:space="preserve">feed-forward burst absorption from the power monitor</w:t>
      </w:r>
      <w:r>
        <w:t xml:space="preserve">; a method claim on</w:t>
      </w:r>
      <w:r>
        <w:t xml:space="preserve"> </w:t>
      </w:r>
      <w:r>
        <w:rPr>
          <w:b/>
        </w:rPr>
        <w:t xml:space="preserve">clock/DVFS control that spends the cooled headroom to the device’s V/F ceiling</w:t>
      </w:r>
      <w:r>
        <w:t xml:space="preserve">; a method claim on</w:t>
      </w:r>
      <w:r>
        <w:t xml:space="preserve"> </w:t>
      </w:r>
      <w:r>
        <w:rPr>
          <w:b/>
        </w:rPr>
        <w:t xml:space="preserve">dark-silicon recovery by routing cooling to the lit cores</w:t>
      </w:r>
      <w:r>
        <w:t xml:space="preserve">; and an architecture claim on the</w:t>
      </w:r>
      <w:r>
        <w:t xml:space="preserve"> </w:t>
      </w:r>
      <w:r>
        <w:rPr>
          <w:b/>
        </w:rPr>
        <w:t xml:space="preserve">storage die held near 280 K on a chromium-doped extractor, placed off the compute die’s heat path</w:t>
      </w:r>
      <w:r>
        <w:t xml:space="preserve"> </w:t>
      </w:r>
      <w:r>
        <w:t xml:space="preserve">(argued, with the falsified form explicitly excluded).</w:t>
      </w:r>
    </w:p>
    <w:p>
      <w:pPr>
        <w:numPr>
          <w:ilvl w:val="0"/>
          <w:numId w:val="1001"/>
        </w:numPr>
      </w:pPr>
      <w:r>
        <w:rPr>
          <w:b/>
        </w:rPr>
        <w:t xml:space="preserve">Figures of the evolution</w:t>
      </w:r>
      <w:r>
        <w:t xml:space="preserve"> </w:t>
      </w:r>
      <w:r>
        <w:t xml:space="preserve">(Section 7,</w:t>
      </w:r>
      <w:r>
        <w:t xml:space="preserve"> </w:t>
      </w:r>
      <w:r>
        <w:rPr>
          <w:rStyle w:val="VerbatimChar"/>
        </w:rPr>
        <w:t xml:space="preserve">figures/fig_integration_levels.png</w:t>
      </w:r>
      <w:r>
        <w:t xml:space="preserve">,</w:t>
      </w:r>
      <w:r>
        <w:t xml:space="preserve"> </w:t>
      </w:r>
      <w:r>
        <w:rPr>
          <w:rStyle w:val="VerbatimChar"/>
        </w:rPr>
        <w:t xml:space="preserve">fig_core_evolution.png</w:t>
      </w:r>
      <w:r>
        <w:t xml:space="preserve">,</w:t>
      </w:r>
      <w:r>
        <w:t xml:space="preserve"> </w:t>
      </w:r>
      <w:r>
        <w:rPr>
          <w:rStyle w:val="VerbatimChar"/>
        </w:rPr>
        <w:t xml:space="preserve">fig_scales.png</w:t>
      </w:r>
      <w:r>
        <w:t xml:space="preserve">): four integration levels (conventional → decoupled cold plate → package-integrated thinned die with redesigned cluster and rails → two-sided stack) and four ladder generations, each panel tagged MEASURED or ARGUED with its evidence. An integration-ladder experiment (burial depth 200 → 20 µm × pitch 500 / 200 µm, 41 points) was run on the allocation for this memo (Section 8.1): the rescue cost is insensitive to the degree of integration (±10 %), so the decoupled cold plate is not a compromised embodiment.</w:t>
      </w:r>
    </w:p>
    <w:p>
      <w:r>
        <w:pict>
          <v:rect style="width:0;height:1.5pt" o:hralign="center" o:hrstd="t" o:hr="t"/>
        </w:pict>
      </w:r>
    </w:p>
    <w:p>
      <w:pPr>
        <w:pStyle w:val="Heading2"/>
      </w:pPr>
      <w:bookmarkStart w:id="22" w:name="Xba63d846f94dfe18d7177b027ea7f7ce50f8ab5"/>
      <w:r>
        <w:t xml:space="preserve">1. Purpose, sources and the evidence discipline</w:t>
      </w:r>
      <w:bookmarkEnd w:id="22"/>
    </w:p>
    <w:p>
      <w:pPr>
        <w:pStyle w:val="FirstParagraph"/>
      </w:pPr>
      <w:r>
        <w:t xml:space="preserve">This memo reviews the as-filed provisional against two newer sources and states what we recommend the non-provisional claim. The sources are:</w:t>
      </w:r>
    </w:p>
    <w:p>
      <w:pPr>
        <w:numPr>
          <w:ilvl w:val="0"/>
          <w:numId w:val="1002"/>
        </w:numPr>
        <w:pStyle w:val="Compact"/>
      </w:pPr>
      <w:r>
        <w:rPr>
          <w:b/>
        </w:rPr>
        <w:t xml:space="preserve">The provisional as filed</w:t>
      </w:r>
      <w:r>
        <w:t xml:space="preserve"> </w:t>
      </w:r>
      <w:r>
        <w:t xml:space="preserve">(</w:t>
      </w:r>
      <w:r>
        <w:rPr>
          <w:rStyle w:val="VerbatimChar"/>
        </w:rPr>
        <w:t xml:space="preserve">Final/2025-10-13 MXL-006-PRO Application as Filed.PDF</w:t>
      </w:r>
      <w:r>
        <w:t xml:space="preserve">; the specification text in</w:t>
      </w:r>
      <w:r>
        <w:t xml:space="preserve"> </w:t>
      </w:r>
      <w:r>
        <w:rPr>
          <w:rStyle w:val="VerbatimChar"/>
        </w:rPr>
        <w:t xml:space="preserve">Misc/MXL-6-PRO - Specification.pdf</w:t>
      </w:r>
      <w:r>
        <w:t xml:space="preserve">, 17 pp., 15 claims).</w:t>
      </w:r>
    </w:p>
    <w:p>
      <w:pPr>
        <w:numPr>
          <w:ilvl w:val="0"/>
          <w:numId w:val="1002"/>
        </w:numPr>
        <w:pStyle w:val="Compact"/>
      </w:pPr>
      <w:r>
        <w:rPr>
          <w:b/>
        </w:rPr>
        <w:t xml:space="preserve">The device book, v100</w:t>
      </w:r>
      <w:r>
        <w:t xml:space="preserve"> </w:t>
      </w:r>
      <w:r>
        <w:t xml:space="preserve">(</w:t>
      </w:r>
      <w:r>
        <w:rPr>
          <w:rStyle w:val="VerbatimChar"/>
        </w:rPr>
        <w:t xml:space="preserve">Photonic_Cooling_Devices___v100.pdf</w:t>
      </w:r>
      <w:r>
        <w:t xml:space="preserve">, 9 Sep 2026), especially Part VI</w:t>
      </w:r>
      <w:r>
        <w:t xml:space="preserve"> </w:t>
      </w:r>
      <w:r>
        <w:t xml:space="preserve">“</w:t>
      </w:r>
      <w:r>
        <w:t xml:space="preserve">Architectural Consequences</w:t>
      </w:r>
      <w:r>
        <w:t xml:space="preserve">”</w:t>
      </w:r>
      <w:r>
        <w:t xml:space="preserve"> </w:t>
      </w:r>
      <w:r>
        <w:t xml:space="preserve">(Chapter 10, book pp. 161–180) and the framing sections it rests on (§1.18 thermally-limited design points, §2.7 temporal targeting, §2.8 the architecture matrix, §8 the extractor platforms, §9 the tile design).</w:t>
      </w:r>
    </w:p>
    <w:p>
      <w:pPr>
        <w:numPr>
          <w:ilvl w:val="0"/>
          <w:numId w:val="1002"/>
        </w:numPr>
        <w:pStyle w:val="Compact"/>
      </w:pPr>
      <w:r>
        <w:rPr>
          <w:b/>
        </w:rPr>
        <w:t xml:space="preserve">The MXL-HotGauge co-design programme</w:t>
      </w:r>
      <w:r>
        <w:t xml:space="preserve"> </w:t>
      </w:r>
      <w:r>
        <w:t xml:space="preserve">(six weeks of coupled simulation, Aug–Sep 2026): a Sniper → McPAT → 3D-ICE pipeline with a closed leakage-temperature feedback loop, a simulated transistor (BSIM-CMG on the ASAP7 card, fitted to nothing), a per-tile cooling planner, and an evidence register that sorts every number into</w:t>
      </w:r>
      <w:r>
        <w:t xml:space="preserve"> </w:t>
      </w:r>
      <w:r>
        <w:rPr>
          <w:b/>
        </w:rPr>
        <w:t xml:space="preserve">quotable</w:t>
      </w:r>
      <w:r>
        <w:t xml:space="preserve">,</w:t>
      </w:r>
      <w:r>
        <w:t xml:space="preserve"> </w:t>
      </w:r>
      <w:r>
        <w:rPr>
          <w:b/>
        </w:rPr>
        <w:t xml:space="preserve">withdrawn</w:t>
      </w:r>
      <w:r>
        <w:t xml:space="preserve"> </w:t>
      </w:r>
      <w:r>
        <w:t xml:space="preserve">and</w:t>
      </w:r>
      <w:r>
        <w:t xml:space="preserve"> </w:t>
      </w:r>
      <w:r>
        <w:rPr>
          <w:b/>
        </w:rPr>
        <w:t xml:space="preserve">open</w:t>
      </w:r>
      <w:r>
        <w:t xml:space="preserve">.</w:t>
      </w:r>
    </w:p>
    <w:p>
      <w:pPr>
        <w:pStyle w:val="FirstParagraph"/>
      </w:pPr>
      <w:r>
        <w:t xml:space="preserve">Every number in this memo carries one of three tags and we ask that the claims respect them:</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tag</w:t>
            </w:r>
          </w:p>
        </w:tc>
        <w:tc>
          <w:tcPr>
            <w:tcBorders>
              <w:bottom w:val="single"/>
            </w:tcBorders>
            <w:vAlign w:val="bottom"/>
          </w:tcPr>
          <w:p>
            <w:pPr>
              <w:pStyle w:val="Compact"/>
              <w:jc w:val="left"/>
            </w:pPr>
            <w:r>
              <w:t xml:space="preserve">meaning</w:t>
            </w:r>
          </w:p>
        </w:tc>
        <w:tc>
          <w:tcPr>
            <w:tcBorders>
              <w:bottom w:val="single"/>
            </w:tcBorders>
            <w:vAlign w:val="bottom"/>
          </w:tcPr>
          <w:p>
            <w:pPr>
              <w:pStyle w:val="Compact"/>
              <w:jc w:val="left"/>
            </w:pPr>
            <w:r>
              <w:t xml:space="preserve">how it may be used</w:t>
            </w:r>
          </w:p>
        </w:tc>
      </w:tr>
      <w:tr>
        <w:tc>
          <w:p>
            <w:pPr>
              <w:pStyle w:val="Compact"/>
              <w:jc w:val="left"/>
            </w:pPr>
            <w:r>
              <w:rPr>
                <w:b/>
              </w:rPr>
              <w:t xml:space="preserve">MEASURED</w:t>
            </w:r>
          </w:p>
        </w:tc>
        <w:tc>
          <w:p>
            <w:pPr>
              <w:pStyle w:val="Compact"/>
              <w:jc w:val="left"/>
            </w:pPr>
            <w:r>
              <w:t xml:space="preserve">a coupled 3D-ICE simulation on a specific floorplan, workload, leakage model and grid, with predictions written before the run and the caveat recorded</w:t>
            </w:r>
          </w:p>
        </w:tc>
        <w:tc>
          <w:p>
            <w:pPr>
              <w:pStyle w:val="Compact"/>
              <w:jc w:val="left"/>
            </w:pPr>
            <w:r>
              <w:t xml:space="preserve">may be quoted with its operating point (W/mm²), its leakage curve, its grid and its caveat</w:t>
            </w:r>
          </w:p>
        </w:tc>
      </w:tr>
      <w:tr>
        <w:tc>
          <w:p>
            <w:pPr>
              <w:pStyle w:val="Compact"/>
              <w:jc w:val="left"/>
            </w:pPr>
            <w:r>
              <w:rPr>
                <w:b/>
              </w:rPr>
              <w:t xml:space="preserve">ARGUED</w:t>
            </w:r>
          </w:p>
        </w:tc>
        <w:tc>
          <w:p>
            <w:pPr>
              <w:pStyle w:val="Compact"/>
              <w:jc w:val="left"/>
            </w:pPr>
            <w:r>
              <w:t xml:space="preserve">derived from measured inputs but not run end to end; or a textbook constant applied to a measured field</w:t>
            </w:r>
          </w:p>
        </w:tc>
        <w:tc>
          <w:p>
            <w:pPr>
              <w:pStyle w:val="Compact"/>
              <w:jc w:val="left"/>
            </w:pPr>
            <w:r>
              <w:t xml:space="preserve">may be described as an embodiment; must not be quoted as a result</w:t>
            </w:r>
          </w:p>
        </w:tc>
      </w:tr>
      <w:tr>
        <w:tc>
          <w:p>
            <w:pPr>
              <w:pStyle w:val="Compact"/>
              <w:jc w:val="left"/>
            </w:pPr>
            <w:r>
              <w:rPr>
                <w:b/>
              </w:rPr>
              <w:t xml:space="preserve">WITHDRAWN</w:t>
            </w:r>
          </w:p>
        </w:tc>
        <w:tc>
          <w:p>
            <w:pPr>
              <w:pStyle w:val="Compact"/>
              <w:jc w:val="left"/>
            </w:pPr>
            <w:r>
              <w:t xml:space="preserve">measured and found wrong, or superseded</w:t>
            </w:r>
          </w:p>
        </w:tc>
        <w:tc>
          <w:p>
            <w:pPr>
              <w:pStyle w:val="Compact"/>
              <w:jc w:val="left"/>
            </w:pPr>
            <w:r>
              <w:t xml:space="preserve">must not appear; the register names what to say instead</w:t>
            </w:r>
          </w:p>
        </w:tc>
      </w:tr>
    </w:tbl>
    <w:p>
      <w:pPr>
        <w:pStyle w:val="BodyText"/>
      </w:pPr>
      <w:r>
        <w:t xml:space="preserve">The programme has withdrawn a substantial fraction of its own early results (the register’s §2 lists nineteen). That is the reason for the discipline, and it is the reason we recommend the claims be drafted from the register rather than from the provisional’s narrative.</w:t>
      </w:r>
    </w:p>
    <w:p>
      <w:pPr>
        <w:pStyle w:val="BodyText"/>
      </w:pPr>
      <w:r>
        <w:rPr>
          <w:b/>
        </w:rPr>
        <w:t xml:space="preserve">One reference die.</w:t>
      </w:r>
      <w:r>
        <w:t xml:space="preserve"> </w:t>
      </w:r>
      <w:r>
        <w:t xml:space="preserve">Everything measured is on one architecture, a 34-core 7 nm Skylake-class die (101 mm², 1126 floorplan blocks) running a replicated single-threaded LINPACK trace, under an 88 CFM baffled-fin air package (0.325 K/W to this die), plus one 70-core falsification die, one GA100-class accelerator die on a microchannel plate, and two dense-cluster variants. Ratios (the 1.4× concentration penalty, the 2.23× cache prize, the 200 µm pitch plateau) have been shown to travel between floorplans; absolute ceilings have not, and the claims should not depend on them.</w:t>
      </w:r>
    </w:p>
    <w:p>
      <w:r>
        <w:pict>
          <v:rect style="width:0;height:1.5pt" o:hralign="center" o:hrstd="t" o:hr="t"/>
        </w:pict>
      </w:r>
    </w:p>
    <w:p>
      <w:pPr>
        <w:pStyle w:val="Heading2"/>
      </w:pPr>
      <w:bookmarkStart w:id="23" w:name="the-provisional-as-filed-a-review"/>
      <w:r>
        <w:t xml:space="preserve">2. The provisional as filed — a review</w:t>
      </w:r>
      <w:bookmarkEnd w:id="23"/>
    </w:p>
    <w:p>
      <w:pPr>
        <w:pStyle w:val="Heading3"/>
      </w:pPr>
      <w:bookmarkStart w:id="24" w:name="what-it-discloses"/>
      <w:r>
        <w:t xml:space="preserve">2.1 What it discloses</w:t>
      </w:r>
      <w:bookmarkEnd w:id="24"/>
    </w:p>
    <w:p>
      <w:pPr>
        <w:pStyle w:val="FirstParagraph"/>
      </w:pPr>
      <w:r>
        <w:t xml:space="preserve">The specification frames a processor die with a photonic cold-plate layer routing pump light to anti-Stokes extractors over functional-unit hot spots, with (i) photonic-integrated floorplans (denser, closer functional units; no thermally-driven dark silicon), (ii) dynamic thermal management (sensor-laser feedback, predictive allocation from branch prediction and instruction queues), (iii) ultra-high-density transistors and clocks, (iv) photonic power recovery, and (v) hybrid analog/digital units. The figures are qualitative (a 2.5D vs stacked GPU package, a core region with hot spots and cold spots, resized ALU and SIMD units with enlarged caches, a compute-unit die with more and smaller units). The fifteen claims are of three kinds: apparatus claims on the architecture with numeric limitations (claims 1, 7, 13), dependent claims on predictive modulation from branch prediction and on SIMD width (2–4, 8–10, 14–15), and method claims on forecasting hot spots and allocating pump beams (5–6, 11–12).</w:t>
      </w:r>
    </w:p>
    <w:p>
      <w:pPr>
        <w:pStyle w:val="Heading3"/>
      </w:pPr>
      <w:bookmarkStart w:id="25" w:name="element-by-element-status"/>
      <w:r>
        <w:t xml:space="preserve">2.2 Element-by-element status</w:t>
      </w:r>
      <w:bookmarkEnd w:id="2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element in the filing</w:t>
            </w:r>
          </w:p>
        </w:tc>
        <w:tc>
          <w:tcPr>
            <w:tcBorders>
              <w:bottom w:val="single"/>
            </w:tcBorders>
            <w:vAlign w:val="bottom"/>
          </w:tcPr>
          <w:p>
            <w:pPr>
              <w:pStyle w:val="Compact"/>
              <w:jc w:val="left"/>
            </w:pPr>
            <w:r>
              <w:t xml:space="preserve">where</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what the evidence says now</w:t>
            </w:r>
          </w:p>
        </w:tc>
      </w:tr>
      <w:tr>
        <w:tc>
          <w:p>
            <w:pPr>
              <w:pStyle w:val="Compact"/>
              <w:jc w:val="left"/>
            </w:pPr>
            <w:r>
              <w:t xml:space="preserve">Extractor regions optically coupled to FU hot spots; pump routed by waveguides and gated to predicted or observed hot spots</w:t>
            </w:r>
          </w:p>
        </w:tc>
        <w:tc>
          <w:p>
            <w:pPr>
              <w:pStyle w:val="Compact"/>
              <w:jc w:val="left"/>
            </w:pPr>
            <w:r>
              <w:t xml:space="preserve">spec §</w:t>
            </w:r>
            <w:r>
              <w:t xml:space="preserve">“</w:t>
            </w:r>
            <w:r>
              <w:t xml:space="preserve">Detailed</w:t>
            </w:r>
            <w:r>
              <w:t xml:space="preserve">”</w:t>
            </w:r>
            <w:r>
              <w:t xml:space="preserve">, claims 1, 5, 7</w:t>
            </w:r>
          </w:p>
        </w:tc>
        <w:tc>
          <w:p>
            <w:pPr>
              <w:pStyle w:val="Compact"/>
              <w:jc w:val="left"/>
            </w:pPr>
            <w:r>
              <w:rPr>
                <w:b/>
              </w:rPr>
              <w:t xml:space="preserve">MEASURED</w:t>
            </w:r>
            <w:r>
              <w:t xml:space="preserve"> </w:t>
            </w:r>
            <w:r>
              <w:t xml:space="preserve">(structure); the</w:t>
            </w:r>
            <w:r>
              <w:t xml:space="preserve"> </w:t>
            </w:r>
            <w:r>
              <w:rPr>
                <w:i/>
              </w:rPr>
              <w:t xml:space="preserve">controller</w:t>
            </w:r>
            <w:r>
              <w:t xml:space="preserve"> </w:t>
            </w:r>
            <w:r>
              <w:t xml:space="preserve">is measured as a planner from the coupled solve, not from branch prediction</w:t>
            </w:r>
          </w:p>
        </w:tc>
        <w:tc>
          <w:p>
            <w:pPr>
              <w:pStyle w:val="Compact"/>
              <w:jc w:val="left"/>
            </w:pPr>
            <w:r>
              <w:t xml:space="preserve">The array is a second powered die of 500 µm GaAs/dye tiles above 200 µm of silicon; a planner derives each tile’s removal from the die’s own thermal sensitivities and bisects to the minimum plan that keeps the die on its cool branch. This is the embodiment that produced every rescue; the envelope</w:t>
            </w:r>
            <w:r>
              <w:t xml:space="preserve"> </w:t>
            </w:r>
            <w:r>
              <w:rPr>
                <w:i/>
              </w:rPr>
              <w:t xml:space="preserve">shape</w:t>
            </w:r>
            <w:r>
              <w:t xml:space="preserve"> </w:t>
            </w:r>
            <w:r>
              <w:t xml:space="preserve">the planner descends within matters (a uniform per-block allotment over-spends by 18–33 % on this die and by 12× on a concentrated quarter; the per-block shape is the one to claim, §P0.29).</w:t>
            </w:r>
          </w:p>
        </w:tc>
      </w:tr>
      <w:tr>
        <w:tc>
          <w:p>
            <w:pPr>
              <w:pStyle w:val="Compact"/>
              <w:jc w:val="left"/>
            </w:pPr>
            <w:r>
              <w:t xml:space="preserve">“</w:t>
            </w:r>
            <w:r>
              <w:t xml:space="preserve">Enables power densities &gt; 1000 W/mm² in the FUs</w:t>
            </w:r>
            <w:r>
              <w:t xml:space="preserve">”</w:t>
            </w:r>
          </w:p>
        </w:tc>
        <w:tc>
          <w:p>
            <w:pPr>
              <w:pStyle w:val="Compact"/>
              <w:jc w:val="left"/>
            </w:pPr>
            <w:r>
              <w:t xml:space="preserve">claims 1, 7, 13; spec</w:t>
            </w:r>
          </w:p>
        </w:tc>
        <w:tc>
          <w:p>
            <w:pPr>
              <w:pStyle w:val="Compact"/>
              <w:jc w:val="left"/>
            </w:pPr>
            <w:r>
              <w:rPr>
                <w:b/>
              </w:rPr>
              <w:t xml:space="preserve">NOT SUPPORTED as a die property</w:t>
            </w:r>
          </w:p>
        </w:tc>
        <w:tc>
          <w:p>
            <w:pPr>
              <w:pStyle w:val="Compact"/>
              <w:jc w:val="left"/>
            </w:pPr>
            <w:r>
              <w:t xml:space="preserve">1000 W/mm² is the</w:t>
            </w:r>
            <w:r>
              <w:t xml:space="preserve"> </w:t>
            </w:r>
            <w:r>
              <w:rPr>
                <w:i/>
              </w:rPr>
              <w:t xml:space="preserve">film’s</w:t>
            </w:r>
            <w:r>
              <w:t xml:space="preserve"> </w:t>
            </w:r>
            <w:r>
              <w:t xml:space="preserve">capability (GaAs / dye, v100 Table 8.2; the target device delivers 813 W/mm² at 300 K tiles and 5,900 at 400 K). No simulated die asks any tile for more than</w:t>
            </w:r>
            <w:r>
              <w:t xml:space="preserve"> </w:t>
            </w:r>
            <w:r>
              <w:rPr>
                <w:b/>
              </w:rPr>
              <w:t xml:space="preserve">5.3 W/mm²</w:t>
            </w:r>
            <w:r>
              <w:t xml:space="preserve"> </w:t>
            </w:r>
            <w:r>
              <w:t xml:space="preserve">steady (the GA100 at 3.15 W/mm² die average) or</w:t>
            </w:r>
            <w:r>
              <w:t xml:space="preserve"> </w:t>
            </w:r>
            <w:r>
              <w:rPr>
                <w:b/>
              </w:rPr>
              <w:t xml:space="preserve">13 W/mm²</w:t>
            </w:r>
            <w:r>
              <w:t xml:space="preserve"> </w:t>
            </w:r>
            <w:r>
              <w:t xml:space="preserve">for 10 ms (a 3× burst). The hottest</w:t>
            </w:r>
            <w:r>
              <w:t xml:space="preserve"> </w:t>
            </w:r>
            <w:r>
              <w:rPr>
                <w:i/>
              </w:rPr>
              <w:t xml:space="preserve">block</w:t>
            </w:r>
            <w:r>
              <w:t xml:space="preserve"> </w:t>
            </w:r>
            <w:r>
              <w:t xml:space="preserve">on the CPU die is 29 W/mm² (a cALU).</w:t>
            </w:r>
            <w:r>
              <w:t xml:space="preserve"> </w:t>
            </w:r>
            <w:r>
              <w:rPr>
                <w:b/>
              </w:rPr>
              <w:t xml:space="preserve">Measured 13 Sep on densified clusters (§P0.32):</w:t>
            </w:r>
            <w:r>
              <w:t xml:space="preserve"> </w:t>
            </w:r>
            <w:r>
              <w:t xml:space="preserve">a</w:t>
            </w:r>
            <w:r>
              <w:t xml:space="preserve"> </w:t>
            </w:r>
            <w:r>
              <w:rPr>
                <w:b/>
              </w:rPr>
              <w:t xml:space="preserve">230 W/mm² cALU</w:t>
            </w:r>
            <w:r>
              <w:t xml:space="preserve"> </w:t>
            </w:r>
            <w:r>
              <w:t xml:space="preserve">(8× the reference’s density) is held to the 2.00-equivalent rung (202 W of die power) at 5–20 µm burial and 100–200 µm tile pitch; a</w:t>
            </w:r>
            <w:r>
              <w:t xml:space="preserve"> </w:t>
            </w:r>
            <w:r>
              <w:rPr>
                <w:b/>
              </w:rPr>
              <w:t xml:space="preserve">460 W/mm² cALU</w:t>
            </w:r>
            <w:r>
              <w:t xml:space="preserve"> </w:t>
            </w:r>
            <w:r>
              <w:t xml:space="preserve">(16×) only at 100 µm pitch; the top rung is lost at coarse pitch to energy conservation and at fine pitch to</w:t>
            </w:r>
            <w:r>
              <w:t xml:space="preserve"> </w:t>
            </w:r>
            <w:r>
              <w:rPr>
                <w:b/>
              </w:rPr>
              <w:t xml:space="preserve">the film’s own cold end</w:t>
            </w:r>
            <w:r>
              <w:t xml:space="preserve"> </w:t>
            </w:r>
            <w:r>
              <w:t xml:space="preserve">— the tile above the cluster is driven to 253–254 K, where the dye’s capability has collapsed, while 170–200 W/mm² is asked of it.</w:t>
            </w:r>
            <w:r>
              <w:t xml:space="preserve"> </w:t>
            </w:r>
            <w:r>
              <w:rPr>
                <w:b/>
              </w:rPr>
              <w:t xml:space="preserve">Measured 19 Sep (§P0.35–§P0.36):</w:t>
            </w:r>
            <w:r>
              <w:t xml:space="preserve"> </w:t>
            </w:r>
            <w:r>
              <w:t xml:space="preserve">that wall was the</w:t>
            </w:r>
            <w:r>
              <w:t xml:space="preserve"> </w:t>
            </w:r>
            <w:r>
              <w:rPr>
                <w:i/>
              </w:rPr>
              <w:t xml:space="preserve">dye’s</w:t>
            </w:r>
            <w:r>
              <w:t xml:space="preserve"> </w:t>
            </w:r>
            <w:r>
              <w:t xml:space="preserve">temperature dependence, not the film concept — with a hot-zone material whose capability rises on cooling (the retuned, enhanced GaAs of v100 Table 1.1, a ceiling design point) the 230 W/mm² cluster holds the 2.40-equivalent rung (243 W, s 0.88–0.91), and a dual-material layout (that material over the execution column only) does the same, at 6–10× the pump power per watt at the coldest tile; and the cluster’s</w:t>
            </w:r>
            <w:r>
              <w:t xml:space="preserve"> </w:t>
            </w:r>
            <w:r>
              <w:rPr>
                <w:i/>
              </w:rPr>
              <w:t xml:space="preserve">shape</w:t>
            </w:r>
            <w:r>
              <w:t xml:space="preserve"> </w:t>
            </w:r>
            <w:r>
              <w:t xml:space="preserve">matters: drawn as a compact block the 2× / 4× / 8× clusters are as cheap or cheaper and gain a rung, while a compact 460 W/mm² cluster has no steady state above 121 W with nothing capped (a transport wall) where the same units as high-aspect fingers hold 202 W (FIG. 3B, FIG. 9). So the film’s capability</w:t>
            </w:r>
            <w:r>
              <w:t xml:space="preserve"> </w:t>
            </w:r>
            <w:r>
              <w:rPr>
                <w:i/>
              </w:rPr>
              <w:t xml:space="preserve">does</w:t>
            </w:r>
            <w:r>
              <w:t xml:space="preserve"> </w:t>
            </w:r>
            <w:r>
              <w:t xml:space="preserve">bind on a several-hundred-W/mm² unit under the dye, at a fifth of its 300 K rating; the honest form is</w:t>
            </w:r>
            <w:r>
              <w:t xml:space="preserve"> </w:t>
            </w:r>
            <w:r>
              <w:t xml:space="preserve">“</w:t>
            </w:r>
            <w:r>
              <w:t xml:space="preserve">functional units at 200–450 W/mm² held by the array, with the tile pitch resolving the unit</w:t>
            </w:r>
            <w:r>
              <w:t xml:space="preserve">”</w:t>
            </w:r>
            <w:r>
              <w:t xml:space="preserve"> </w:t>
            </w:r>
            <w:r>
              <w:t xml:space="preserve">— not &gt; 1000, and the die’s own supply rails carry 8–16× the reference’s current density there (Section 4.6).</w:t>
            </w:r>
          </w:p>
        </w:tc>
      </w:tr>
      <w:tr>
        <w:tc>
          <w:p>
            <w:pPr>
              <w:pStyle w:val="Compact"/>
              <w:jc w:val="left"/>
            </w:pPr>
            <w:r>
              <w:t xml:space="preserve">“</w:t>
            </w:r>
            <w:r>
              <w:t xml:space="preserve">Clockspeeds &gt; 10 GHz</w:t>
            </w:r>
            <w:r>
              <w:t xml:space="preserve">”</w:t>
            </w:r>
          </w:p>
        </w:tc>
        <w:tc>
          <w:p>
            <w:pPr>
              <w:pStyle w:val="Compact"/>
              <w:jc w:val="left"/>
            </w:pPr>
            <w:r>
              <w:t xml:space="preserve">claims 1, 7; spec</w:t>
            </w:r>
          </w:p>
        </w:tc>
        <w:tc>
          <w:p>
            <w:pPr>
              <w:pStyle w:val="Compact"/>
              <w:jc w:val="left"/>
            </w:pPr>
            <w:r>
              <w:rPr>
                <w:b/>
              </w:rPr>
              <w:t xml:space="preserve">CONTRADICTED</w:t>
            </w:r>
          </w:p>
        </w:tc>
        <w:tc>
          <w:p>
            <w:pPr>
              <w:pStyle w:val="Compact"/>
              <w:jc w:val="left"/>
            </w:pPr>
            <w:r>
              <w:t xml:space="preserve">The clock search on the simulated device ends at the transistor’s own V/F ceiling:</w:t>
            </w:r>
            <w:r>
              <w:t xml:space="preserve"> </w:t>
            </w:r>
            <w:r>
              <w:rPr>
                <w:b/>
              </w:rPr>
              <w:t xml:space="preserve">4.17 GHz</w:t>
            </w:r>
            <w:r>
              <w:t xml:space="preserve"> </w:t>
            </w:r>
            <w:r>
              <w:t xml:space="preserve">at 0.77 V (10 % overdrive on the ASAP7 card, the</w:t>
            </w:r>
            <w:r>
              <w:t xml:space="preserve"> </w:t>
            </w:r>
            <w:r>
              <w:rPr>
                <w:i/>
              </w:rPr>
              <w:t xml:space="preserve">gate-only</w:t>
            </w:r>
            <w:r>
              <w:t xml:space="preserve"> </w:t>
            </w:r>
            <w:r>
              <w:t xml:space="preserve">model) and 5.0 GHz on the shipped table. Cooling turns thermal headroom into clock</w:t>
            </w:r>
            <w:r>
              <w:t xml:space="preserve"> </w:t>
            </w:r>
            <w:r>
              <w:rPr>
                <w:i/>
              </w:rPr>
              <w:t xml:space="preserve">up to</w:t>
            </w:r>
            <w:r>
              <w:t xml:space="preserve"> </w:t>
            </w:r>
            <w:r>
              <w:t xml:space="preserve">that ceiling (+14 % at 1.00 W/mm², +26 % at 1.20, +34 % on the table) and no further; above the table nothing thermal stops the laser arm because the voltage is clamped, and that is a model artefact, not a clock.</w:t>
            </w:r>
            <w:r>
              <w:t xml:space="preserve"> </w:t>
            </w:r>
            <w:r>
              <w:rPr>
                <w:b/>
              </w:rPr>
              <w:t xml:space="preserve">Generalized 13 Sep (§P0.31):</w:t>
            </w:r>
            <w:r>
              <w:t xml:space="preserve"> </w:t>
            </w:r>
            <w:r>
              <w:t xml:space="preserve">with wire, clock skew and setup/jitter in the period and the supply limit set by an electromigration / dielectric-breakdown lifetime budget at the</w:t>
            </w:r>
            <w:r>
              <w:t xml:space="preserve"> </w:t>
            </w:r>
            <w:r>
              <w:rPr>
                <w:i/>
              </w:rPr>
              <w:t xml:space="preserve">cooled</w:t>
            </w:r>
            <w:r>
              <w:t xml:space="preserve"> </w:t>
            </w:r>
            <w:r>
              <w:t xml:space="preserve">temperature instead of a fixed overdrive, the same 10 % overdrive buys</w:t>
            </w:r>
            <w:r>
              <w:t xml:space="preserve"> </w:t>
            </w:r>
            <w:r>
              <w:rPr>
                <w:b/>
              </w:rPr>
              <w:t xml:space="preserve">+1.6 % of clock at the array’s 92 °C target</w:t>
            </w:r>
            <w:r>
              <w:t xml:space="preserve"> </w:t>
            </w:r>
            <w:r>
              <w:t xml:space="preserve">(3.84 GHz on a 20-FO4 pipeline); a die held at 60 °C buys +8 %, at 27 °C +16 %; and</w:t>
            </w:r>
            <w:r>
              <w:t xml:space="preserve"> </w:t>
            </w:r>
            <w:r>
              <w:rPr>
                <w:b/>
              </w:rPr>
              <w:t xml:space="preserve">10 GHz needs a 6–7 FO4-per-stage pipeline</w:t>
            </w:r>
            <w:r>
              <w:t xml:space="preserve"> </w:t>
            </w:r>
            <w:r>
              <w:t xml:space="preserve">(Pentium-4 class) on this device at any temperature — the cooler is not what stands between this core and 10 GHz. The coupled search under that model (</w:t>
            </w:r>
            <w:r>
              <w:rPr>
                <w:rStyle w:val="VerbatimChar"/>
              </w:rPr>
              <w:t xml:space="preserve">clock_fmax.json</w:t>
            </w:r>
            <w:r>
              <w:t xml:space="preserve">) puts the laser arm at</w:t>
            </w:r>
            <w:r>
              <w:t xml:space="preserve"> </w:t>
            </w:r>
            <w:r>
              <w:rPr>
                <w:b/>
              </w:rPr>
              <w:t xml:space="preserve">3.76 GHz at the 92 °C target</w:t>
            </w:r>
            <w:r>
              <w:t xml:space="preserve"> </w:t>
            </w:r>
            <w:r>
              <w:t xml:space="preserve">(+7 % over the control at 1.00 W/mm², +15 % at 1.20; TDDB-limited),</w:t>
            </w:r>
            <w:r>
              <w:t xml:space="preserve"> </w:t>
            </w:r>
            <w:r>
              <w:rPr>
                <w:b/>
              </w:rPr>
              <w:t xml:space="preserve">4.08 GHz at a 60 °C target</w:t>
            </w:r>
            <w:r>
              <w:t xml:space="preserve"> </w:t>
            </w:r>
            <w:r>
              <w:t xml:space="preserve">for 104 W of removal, and</w:t>
            </w:r>
            <w:r>
              <w:t xml:space="preserve"> </w:t>
            </w:r>
            <w:r>
              <w:rPr>
                <w:b/>
              </w:rPr>
              <w:t xml:space="preserve">5.75 GHz on a 10-FO4 pipeline, where the cooler binds again</w:t>
            </w:r>
            <w:r>
              <w:t xml:space="preserve"> </w:t>
            </w:r>
            <w:r>
              <w:t xml:space="preserve">(283 W of die power, 259 W lifted, the next step runs away). In instructions per second the recorded +14 / +26 % clock gains are +11 / +21 % (CoMeT’s measured IPC(f), §P0.33). v100 §10.5 says the same (cubic scaling; the linear regime ends at V_th). Remove the number; claim</w:t>
            </w:r>
            <w:r>
              <w:t xml:space="preserve"> </w:t>
            </w:r>
            <w:r>
              <w:t xml:space="preserve">“</w:t>
            </w:r>
            <w:r>
              <w:t xml:space="preserve">clock to the device’s reliability-budgeted ceiling</w:t>
            </w:r>
            <w:r>
              <w:t xml:space="preserve">”</w:t>
            </w:r>
            <w:r>
              <w:t xml:space="preserve"> </w:t>
            </w:r>
            <w:r>
              <w:t xml:space="preserve">(Section 6.3).</w:t>
            </w:r>
          </w:p>
        </w:tc>
      </w:tr>
      <w:tr>
        <w:tc>
          <w:p>
            <w:pPr>
              <w:pStyle w:val="Compact"/>
              <w:jc w:val="left"/>
            </w:pPr>
            <w:r>
              <w:t xml:space="preserve">“</w:t>
            </w:r>
            <w:r>
              <w:t xml:space="preserve">Transistor densities &gt; 10¹¹/cm²</w:t>
            </w:r>
            <w:r>
              <w:t xml:space="preserve">”</w:t>
            </w:r>
            <w:r>
              <w:t xml:space="preserve">;</w:t>
            </w:r>
            <w:r>
              <w:t xml:space="preserve"> </w:t>
            </w:r>
            <w:r>
              <w:t xml:space="preserve">“</w:t>
            </w:r>
            <w:r>
              <w:t xml:space="preserve">&gt; 10¹² quantum bound</w:t>
            </w:r>
            <w:r>
              <w:t xml:space="preserve">”</w:t>
            </w:r>
          </w:p>
        </w:tc>
        <w:tc>
          <w:p>
            <w:pPr>
              <w:pStyle w:val="Compact"/>
              <w:jc w:val="left"/>
            </w:pPr>
            <w:r>
              <w:t xml:space="preserve">claims 5, 7, 11; spec</w:t>
            </w:r>
          </w:p>
        </w:tc>
        <w:tc>
          <w:p>
            <w:pPr>
              <w:pStyle w:val="Compact"/>
              <w:jc w:val="left"/>
            </w:pPr>
            <w:r>
              <w:rPr>
                <w:b/>
              </w:rPr>
              <w:t xml:space="preserve">NOT MEASURED</w:t>
            </w:r>
          </w:p>
        </w:tc>
        <w:tc>
          <w:p>
            <w:pPr>
              <w:pStyle w:val="Compact"/>
              <w:jc w:val="left"/>
            </w:pPr>
            <w:r>
              <w:t xml:space="preserve">Density was measured as</w:t>
            </w:r>
            <w:r>
              <w:t xml:space="preserve"> </w:t>
            </w:r>
            <w:r>
              <w:rPr>
                <w:i/>
              </w:rPr>
              <w:t xml:space="preserve">execution-cluster area at fixed power</w:t>
            </w:r>
            <w:r>
              <w:t xml:space="preserve">: 2× and 4× denser clusters are held by the array at matched die watts to 202 W and 162 W respectively; at the book’s 70 % utilisation the same design is 1.22× denser in silicon and holds every rung. Nothing ties this to a transistors-per-cm² figure. Restate as a cluster-density ratio.</w:t>
            </w:r>
          </w:p>
        </w:tc>
      </w:tr>
      <w:tr>
        <w:tc>
          <w:p>
            <w:pPr>
              <w:pStyle w:val="Compact"/>
              <w:jc w:val="left"/>
            </w:pPr>
            <w:r>
              <w:t xml:space="preserve">“</w:t>
            </w:r>
            <w:r>
              <w:t xml:space="preserve">Reducing temperatures by over 160 °C</w:t>
            </w:r>
            <w:r>
              <w:t xml:space="preserve">”</w:t>
            </w:r>
            <w:r>
              <w:t xml:space="preserve"> </w:t>
            </w:r>
            <w:r>
              <w:t xml:space="preserve">/</w:t>
            </w:r>
            <w:r>
              <w:t xml:space="preserve"> </w:t>
            </w:r>
            <w:r>
              <w:t xml:space="preserve">“</w:t>
            </w:r>
            <w:r>
              <w:t xml:space="preserve">115 °C vs air, 160 °C vs liquid</w:t>
            </w:r>
            <w:r>
              <w:t xml:space="preserve">”</w:t>
            </w:r>
          </w:p>
        </w:tc>
        <w:tc>
          <w:p>
            <w:pPr>
              <w:pStyle w:val="Compact"/>
              <w:jc w:val="left"/>
            </w:pPr>
            <w:r>
              <w:t xml:space="preserve">spec (Background, FU list)</w:t>
            </w:r>
          </w:p>
        </w:tc>
        <w:tc>
          <w:p>
            <w:pPr>
              <w:pStyle w:val="Compact"/>
              <w:jc w:val="left"/>
            </w:pPr>
            <w:r>
              <w:rPr>
                <w:b/>
              </w:rPr>
              <w:t xml:space="preserve">CONTRADICTED</w:t>
            </w:r>
          </w:p>
        </w:tc>
        <w:tc>
          <w:p>
            <w:pPr>
              <w:pStyle w:val="Compact"/>
              <w:jc w:val="left"/>
            </w:pPr>
            <w:r>
              <w:t xml:space="preserve">Measured lifts at matched power: 7 K from the unpowered GaAs layer alone at native power (78.6 → 71.5 °C), 12 K at 1.10 W/mm² (103.7 → 92), 25–40 K where the control has</w:t>
            </w:r>
            <w:r>
              <w:t xml:space="preserve"> </w:t>
            </w:r>
            <w:r>
              <w:rPr>
                <w:i/>
              </w:rPr>
              <w:t xml:space="preserve">no</w:t>
            </w:r>
            <w:r>
              <w:t xml:space="preserve"> </w:t>
            </w:r>
            <w:r>
              <w:t xml:space="preserve">steady state (the lift is then not a number but a rescue). The die is never taken below ~263 K at any tile.</w:t>
            </w:r>
          </w:p>
        </w:tc>
      </w:tr>
      <w:tr>
        <w:tc>
          <w:p>
            <w:pPr>
              <w:pStyle w:val="Compact"/>
              <w:jc w:val="left"/>
            </w:pPr>
            <w:r>
              <w:t xml:space="preserve">“</w:t>
            </w:r>
            <w:r>
              <w:t xml:space="preserve">COP &gt; 10×</w:t>
            </w:r>
            <w:r>
              <w:t xml:space="preserve">”</w:t>
            </w:r>
            <w:r>
              <w:t xml:space="preserve"> </w:t>
            </w:r>
            <w:r>
              <w:t xml:space="preserve">vs conventional</w:t>
            </w:r>
          </w:p>
        </w:tc>
        <w:tc>
          <w:p>
            <w:pPr>
              <w:pStyle w:val="Compact"/>
              <w:jc w:val="left"/>
            </w:pPr>
            <w:r>
              <w:t xml:space="preserve">spec, table</w:t>
            </w:r>
          </w:p>
        </w:tc>
        <w:tc>
          <w:p>
            <w:pPr>
              <w:pStyle w:val="Compact"/>
              <w:jc w:val="left"/>
            </w:pPr>
            <w:r>
              <w:rPr>
                <w:b/>
              </w:rPr>
              <w:t xml:space="preserve">SUPPORTED against refrigerated air where air has no solution; CONTRADICTED against a chilled liquid plate below its sub-zero crossover</w:t>
            </w:r>
            <w:r>
              <w:t xml:space="preserve"> </w:t>
            </w:r>
            <w:r>
              <w:t xml:space="preserve">(§P0.30, 13 Sep)</w:t>
            </w:r>
          </w:p>
        </w:tc>
        <w:tc>
          <w:p>
            <w:pPr>
              <w:pStyle w:val="Compact"/>
              <w:jc w:val="left"/>
            </w:pPr>
            <w:r>
              <w:t xml:space="preserve">The &gt;10× came from LCEstimator’s system comparison (fans, pumps, chillers with sub-zero penalties). Re-run on the coupled solve with the calibrated fan (</w:t>
            </w:r>
            <w:r>
              <w:rPr>
                <w:rStyle w:val="VerbatimChar"/>
              </w:rPr>
              <w:t xml:space="preserve">cooling_system_ledger.json</w:t>
            </w:r>
            <w:r>
              <w:t xml:space="preserve">): the air package needs 273 K ambient at 1.20 W/mm² and 243 K at 1.60 and has no solution above; system COP air / liquid plate / photonic = 1.65 / 17.3 / 2.59 at 1.20, 0.52 / 3.94 / 1.90 at 1.60, — / 3.02 / 1.58 at 2.00, — / 0.97 / 1.29 at 2.40. The laser beats air 1.6–3.7× and is the only solution above 1.60; it beats a direct-die microchannel plate with a chiller only where the plate’s coolant goes sub-zero (2.4 W/mm² here). State the COP claim as a curve against rescue depth, with the air and liquid cases separated; the loop’s own electrical COP is 0.27 (1.64 with recovery).</w:t>
            </w:r>
          </w:p>
        </w:tc>
      </w:tr>
      <w:tr>
        <w:tc>
          <w:p>
            <w:pPr>
              <w:pStyle w:val="Compact"/>
              <w:jc w:val="left"/>
            </w:pPr>
            <w:r>
              <w:t xml:space="preserve">“</w:t>
            </w:r>
            <w:r>
              <w:t xml:space="preserve">Recovering &gt; 20–30 % of waste heat as reusable energy</w:t>
            </w:r>
            <w:r>
              <w:t xml:space="preserve">”</w:t>
            </w:r>
            <w:r>
              <w:t xml:space="preserve">;</w:t>
            </w:r>
            <w:r>
              <w:t xml:space="preserve"> </w:t>
            </w:r>
            <w:r>
              <w:t xml:space="preserve">“</w:t>
            </w:r>
            <w:r>
              <w:t xml:space="preserve">160 % net power generation</w:t>
            </w:r>
            <w:r>
              <w:t xml:space="preserve">”</w:t>
            </w:r>
          </w:p>
        </w:tc>
        <w:tc>
          <w:p>
            <w:pPr>
              <w:pStyle w:val="Compact"/>
              <w:jc w:val="left"/>
            </w:pPr>
            <w:r>
              <w:t xml:space="preserve">claims 6, 12, 13; spec table</w:t>
            </w:r>
          </w:p>
        </w:tc>
        <w:tc>
          <w:p>
            <w:pPr>
              <w:pStyle w:val="Compact"/>
              <w:jc w:val="left"/>
            </w:pPr>
            <w:r>
              <w:rPr>
                <w:b/>
              </w:rPr>
              <w:t xml:space="preserve">WITHDRAWN on any current rung</w:t>
            </w:r>
          </w:p>
        </w:tc>
        <w:tc>
          <w:p>
            <w:pPr>
              <w:pStyle w:val="Compact"/>
              <w:jc w:val="left"/>
            </w:pPr>
            <w:r>
              <w:t xml:space="preserve">The recovery ledger’s export crossing is</w:t>
            </w:r>
            <w:r>
              <w:t xml:space="preserve"> </w:t>
            </w:r>
            <w:r>
              <w:rPr>
                <w:b/>
              </w:rPr>
              <w:t xml:space="preserve">614 K</w:t>
            </w:r>
            <w:r>
              <w:t xml:space="preserve"> </w:t>
            </w:r>
            <w:r>
              <w:t xml:space="preserve">(90 % laser preset) on the device model; the self-powering temperature (pump covered, LPC not counted) is 408 K. Neither is reachable on a Cu/low-κ die (v100 §10.9: continuous operation above ~400 K is not viable in today’s BEOL). Net export is reserved for a wide-bandgap compute zone with refractory metallization and a Tier-III cascaded extractor. Keep it as a long-horizon embodiment; do not claim a percentage.</w:t>
            </w:r>
          </w:p>
        </w:tc>
      </w:tr>
      <w:tr>
        <w:tc>
          <w:p>
            <w:pPr>
              <w:pStyle w:val="Compact"/>
              <w:jc w:val="left"/>
            </w:pPr>
            <w:r>
              <w:t xml:space="preserve">Cooling registers/caches to &lt; 50 °C cutting leakage &gt; 50 %</w:t>
            </w:r>
          </w:p>
        </w:tc>
        <w:tc>
          <w:p>
            <w:pPr>
              <w:pStyle w:val="Compact"/>
              <w:jc w:val="left"/>
            </w:pPr>
            <w:r>
              <w:t xml:space="preserve">spec; claim 15</w:t>
            </w:r>
          </w:p>
        </w:tc>
        <w:tc>
          <w:p>
            <w:pPr>
              <w:pStyle w:val="Compact"/>
              <w:jc w:val="left"/>
            </w:pPr>
            <w:r>
              <w:rPr>
                <w:b/>
              </w:rPr>
              <w:t xml:space="preserve">MEASURED in ratio form; the temperature is different</w:t>
            </w:r>
          </w:p>
        </w:tc>
        <w:tc>
          <w:p>
            <w:pPr>
              <w:pStyle w:val="Compact"/>
              <w:jc w:val="left"/>
            </w:pPr>
            <w:r>
              <w:t xml:space="preserve">Cache leakage falls</w:t>
            </w:r>
            <w:r>
              <w:t xml:space="preserve"> </w:t>
            </w:r>
            <w:r>
              <w:rPr>
                <w:b/>
              </w:rPr>
              <w:t xml:space="preserve">2.7× at 300 K and 3.6× at 280 K</w:t>
            </w:r>
            <w:r>
              <w:t xml:space="preserve"> </w:t>
            </w:r>
            <w:r>
              <w:t xml:space="preserve">(63–72 %); the prize saturates by</w:t>
            </w:r>
            <w:r>
              <w:t xml:space="preserve"> </w:t>
            </w:r>
            <w:r>
              <w:rPr>
                <w:b/>
              </w:rPr>
              <w:t xml:space="preserve">280 K</w:t>
            </w:r>
            <w:r>
              <w:t xml:space="preserve"> </w:t>
            </w:r>
            <w:r>
              <w:t xml:space="preserve">(within 5 % of maximum), so the design target is barely sub-ambient, not cryogenic. The absolute share is accounting-dependent (~6–14 % of die power); quote the ratio.</w:t>
            </w:r>
          </w:p>
        </w:tc>
      </w:tr>
      <w:tr>
        <w:tc>
          <w:p>
            <w:pPr>
              <w:pStyle w:val="Compact"/>
              <w:jc w:val="left"/>
            </w:pPr>
            <w:r>
              <w:t xml:space="preserve">Branch-prediction outputs modulate laser intensity;</w:t>
            </w:r>
            <w:r>
              <w:t xml:space="preserve"> </w:t>
            </w:r>
            <w:r>
              <w:t xml:space="preserve">“</w:t>
            </w:r>
            <w:r>
              <w:t xml:space="preserve">reducing thermal latency in vector operations by &gt; 20 %</w:t>
            </w:r>
            <w:r>
              <w:t xml:space="preserve">”</w:t>
            </w:r>
          </w:p>
        </w:tc>
        <w:tc>
          <w:p>
            <w:pPr>
              <w:pStyle w:val="Compact"/>
              <w:jc w:val="left"/>
            </w:pPr>
            <w:r>
              <w:t xml:space="preserve">claims 2, 8, 14; spec</w:t>
            </w:r>
          </w:p>
        </w:tc>
        <w:tc>
          <w:p>
            <w:pPr>
              <w:pStyle w:val="Compact"/>
              <w:jc w:val="left"/>
            </w:pPr>
            <w:r>
              <w:rPr>
                <w:b/>
              </w:rPr>
              <w:t xml:space="preserve">NOT MEASURED</w:t>
            </w:r>
          </w:p>
        </w:tc>
        <w:tc>
          <w:p>
            <w:pPr>
              <w:pStyle w:val="Compact"/>
              <w:jc w:val="left"/>
            </w:pPr>
            <w:r>
              <w:t xml:space="preserve">What is measured (F4) is</w:t>
            </w:r>
            <w:r>
              <w:t xml:space="preserve"> </w:t>
            </w:r>
            <w:r>
              <w:rPr>
                <w:b/>
              </w:rPr>
              <w:t xml:space="preserve">feed-forward from the power monitor</w:t>
            </w:r>
            <w:r>
              <w:t xml:space="preserve">: during a 10 ms activity burst the burst’s own added watts are removed at their source, block by block, cutting the peak-block overshoot per added watt from 0.51–0.67 K/W (package) to 0.17–0.20 K/W (2.5–3.3×), holding a 2× burst under the 92 °C target where the package crosses the 100 °C spec for 11 ms. A predictor that</w:t>
            </w:r>
            <w:r>
              <w:t xml:space="preserve"> </w:t>
            </w:r>
            <w:r>
              <w:rPr>
                <w:i/>
              </w:rPr>
              <w:t xml:space="preserve">anticipates</w:t>
            </w:r>
            <w:r>
              <w:t xml:space="preserve"> </w:t>
            </w:r>
            <w:r>
              <w:t xml:space="preserve">the burst is a natural extension (it removes the residual conduction lag) but has not been simulated. Claim the feed-forward form; keep prediction as a dependent embodiment.</w:t>
            </w:r>
          </w:p>
        </w:tc>
      </w:tr>
      <w:tr>
        <w:tc>
          <w:p>
            <w:pPr>
              <w:pStyle w:val="Compact"/>
              <w:jc w:val="left"/>
            </w:pPr>
            <w:r>
              <w:t xml:space="preserve">SIMD width &gt; 1024 bit,</w:t>
            </w:r>
            <w:r>
              <w:t xml:space="preserve"> </w:t>
            </w:r>
            <w:r>
              <w:t xml:space="preserve">“</w:t>
            </w:r>
            <w:r>
              <w:t xml:space="preserve">4× clock × 4× instructions = 16× FLOP</w:t>
            </w:r>
            <w:r>
              <w:t xml:space="preserve">”</w:t>
            </w:r>
          </w:p>
        </w:tc>
        <w:tc>
          <w:p>
            <w:pPr>
              <w:pStyle w:val="Compact"/>
              <w:jc w:val="left"/>
            </w:pPr>
            <w:r>
              <w:t xml:space="preserve">claims 3, 9, 14; spec fig.</w:t>
            </w:r>
          </w:p>
        </w:tc>
        <w:tc>
          <w:p>
            <w:pPr>
              <w:pStyle w:val="Compact"/>
              <w:jc w:val="left"/>
            </w:pPr>
            <w:r>
              <w:rPr>
                <w:b/>
              </w:rPr>
              <w:t xml:space="preserve">NOT MEASURED</w:t>
            </w:r>
          </w:p>
        </w:tc>
        <w:tc>
          <w:p>
            <w:pPr>
              <w:pStyle w:val="Compact"/>
              <w:jc w:val="left"/>
            </w:pPr>
            <w:r>
              <w:t xml:space="preserve">No vector-width experiment exists. The measured density lever is the execution cluster’s area at fixed power, and its clock lever ends at the device ceiling. The 16× figure should not be carried.</w:t>
            </w:r>
          </w:p>
        </w:tc>
      </w:tr>
      <w:tr>
        <w:tc>
          <w:p>
            <w:pPr>
              <w:pStyle w:val="Compact"/>
              <w:jc w:val="left"/>
            </w:pPr>
            <w:r>
              <w:t xml:space="preserve">FPUs/integer units share extractors;</w:t>
            </w:r>
            <w:r>
              <w:t xml:space="preserve"> </w:t>
            </w:r>
            <w:r>
              <w:t xml:space="preserve">“</w:t>
            </w:r>
            <w:r>
              <w:t xml:space="preserve">&gt; 3× throughput in predictive pipelines</w:t>
            </w:r>
            <w:r>
              <w:t xml:space="preserve">”</w:t>
            </w:r>
          </w:p>
        </w:tc>
        <w:tc>
          <w:p>
            <w:pPr>
              <w:pStyle w:val="Compact"/>
              <w:jc w:val="left"/>
            </w:pPr>
            <w:r>
              <w:t xml:space="preserve">claims 4, 10</w:t>
            </w:r>
          </w:p>
        </w:tc>
        <w:tc>
          <w:p>
            <w:pPr>
              <w:pStyle w:val="Compact"/>
              <w:jc w:val="left"/>
            </w:pPr>
            <w:r>
              <w:rPr>
                <w:b/>
              </w:rPr>
              <w:t xml:space="preserve">NOT MEASURED</w:t>
            </w:r>
          </w:p>
        </w:tc>
        <w:tc>
          <w:p>
            <w:pPr>
              <w:pStyle w:val="Compact"/>
              <w:jc w:val="left"/>
            </w:pPr>
            <w:r>
              <w:t xml:space="preserve">Tiles are 500 µm and address a 142 × 115 µm unit at the 200 µm plateau; sharing is automatic. Throughput multipliers measured are 2.2–2.4× in</w:t>
            </w:r>
            <w:r>
              <w:t xml:space="preserve"> </w:t>
            </w:r>
            <w:r>
              <w:rPr>
                <w:i/>
              </w:rPr>
              <w:t xml:space="preserve">die watts</w:t>
            </w:r>
            <w:r>
              <w:t xml:space="preserve"> </w:t>
            </w:r>
            <w:r>
              <w:t xml:space="preserve">at fixed core count and 2.06× in cores on the 70-core die; GFLOP/s at fixed core count is flat by construction in the density ladders.</w:t>
            </w:r>
            <w:r>
              <w:t xml:space="preserve"> </w:t>
            </w:r>
            <w:r>
              <w:t xml:space="preserve">“</w:t>
            </w:r>
            <w:r>
              <w:t xml:space="preserve">N× the compute</w:t>
            </w:r>
            <w:r>
              <w:t xml:space="preserve">”</w:t>
            </w:r>
            <w:r>
              <w:t xml:space="preserve"> </w:t>
            </w:r>
            <w:r>
              <w:t xml:space="preserve">from a fixed-core ladder is on the never-say list.</w:t>
            </w:r>
          </w:p>
        </w:tc>
      </w:tr>
      <w:tr>
        <w:tc>
          <w:p>
            <w:pPr>
              <w:pStyle w:val="Compact"/>
              <w:jc w:val="left"/>
            </w:pPr>
            <w:r>
              <w:t xml:space="preserve">3D stacks with vertical photonic vias between compute, cache and HBM layers</w:t>
            </w:r>
          </w:p>
        </w:tc>
        <w:tc>
          <w:p>
            <w:pPr>
              <w:pStyle w:val="Compact"/>
              <w:jc w:val="left"/>
            </w:pPr>
            <w:r>
              <w:t xml:space="preserve">spec §1 variations</w:t>
            </w:r>
          </w:p>
        </w:tc>
        <w:tc>
          <w:p>
            <w:pPr>
              <w:pStyle w:val="Compact"/>
              <w:jc w:val="left"/>
            </w:pPr>
            <w:r>
              <w:rPr>
                <w:b/>
              </w:rPr>
              <w:t xml:space="preserve">PARTLY CONTRADICTED</w:t>
            </w:r>
          </w:p>
        </w:tc>
        <w:tc>
          <w:p>
            <w:pPr>
              <w:pStyle w:val="Compact"/>
              <w:jc w:val="left"/>
            </w:pPr>
            <w:r>
              <w:t xml:space="preserve">A memory/storage die</w:t>
            </w:r>
            <w:r>
              <w:t xml:space="preserve"> </w:t>
            </w:r>
            <w:r>
              <w:rPr>
                <w:i/>
              </w:rPr>
              <w:t xml:space="preserve">between</w:t>
            </w:r>
            <w:r>
              <w:t xml:space="preserve"> </w:t>
            </w:r>
            <w:r>
              <w:t xml:space="preserve">the compute die and the sink cannot be held cold: the storage die is the compute die’s heat path, so holding it at 280 K costs the whole die (99.3 W at every bond conductivity from 120 to 5 W/mK) and an isolating bond takes the compute die’s sink away. The surviving stack is two-sided (Section 6.6).</w:t>
            </w:r>
          </w:p>
        </w:tc>
      </w:tr>
      <w:tr>
        <w:tc>
          <w:p>
            <w:pPr>
              <w:pStyle w:val="Compact"/>
              <w:jc w:val="left"/>
            </w:pPr>
            <w:r>
              <w:t xml:space="preserve">Hybrid analog/digital FUs at &gt; 500 W/mm² with sub-10 °C variance</w:t>
            </w:r>
          </w:p>
        </w:tc>
        <w:tc>
          <w:p>
            <w:pPr>
              <w:pStyle w:val="Compact"/>
              <w:jc w:val="left"/>
            </w:pPr>
            <w:r>
              <w:t xml:space="preserve">spec §5</w:t>
            </w:r>
          </w:p>
        </w:tc>
        <w:tc>
          <w:p>
            <w:pPr>
              <w:pStyle w:val="Compact"/>
              <w:jc w:val="left"/>
            </w:pPr>
            <w:r>
              <w:rPr>
                <w:b/>
              </w:rPr>
              <w:t xml:space="preserve">NOT MEASURED</w:t>
            </w:r>
          </w:p>
        </w:tc>
        <w:tc>
          <w:p>
            <w:pPr>
              <w:pStyle w:val="Compact"/>
              <w:jc w:val="left"/>
            </w:pPr>
            <w:r>
              <w:t xml:space="preserve">No analog unit modelled.</w:t>
            </w:r>
          </w:p>
        </w:tc>
      </w:tr>
      <w:tr>
        <w:tc>
          <w:p>
            <w:pPr>
              <w:pStyle w:val="Compact"/>
              <w:jc w:val="left"/>
            </w:pPr>
            <w:r>
              <w:t xml:space="preserve">“</w:t>
            </w:r>
            <w:r>
              <w:t xml:space="preserve">Ballistic heat guides</w:t>
            </w:r>
            <w:r>
              <w:t xml:space="preserve">”</w:t>
            </w:r>
          </w:p>
        </w:tc>
        <w:tc>
          <w:p>
            <w:pPr>
              <w:pStyle w:val="Compact"/>
              <w:jc w:val="left"/>
            </w:pPr>
            <w:r>
              <w:t xml:space="preserve">spec, generic FU list</w:t>
            </w:r>
          </w:p>
        </w:tc>
        <w:tc>
          <w:p>
            <w:pPr>
              <w:pStyle w:val="Compact"/>
              <w:jc w:val="left"/>
            </w:pPr>
            <w:r>
              <w:rPr>
                <w:b/>
              </w:rPr>
              <w:t xml:space="preserve">NOT MEASURED</w:t>
            </w:r>
          </w:p>
        </w:tc>
        <w:tc>
          <w:p>
            <w:pPr>
              <w:pStyle w:val="Compact"/>
              <w:jc w:val="left"/>
            </w:pPr>
            <w:r>
              <w:t xml:space="preserve">Not modelled; the tile-to-block coupling is diffusive through 200 µm of silicon and that thickness is what sets the 200 µm pitch plateau.</w:t>
            </w:r>
          </w:p>
        </w:tc>
      </w:tr>
    </w:tbl>
    <w:p>
      <w:pPr>
        <w:pStyle w:val="Heading3"/>
      </w:pPr>
      <w:bookmarkStart w:id="26" w:name="X369528e002919d305984324d8e38f4d92dd83f4"/>
      <w:r>
        <w:t xml:space="preserve">2.3 What the filing does not contain that the record now supports</w:t>
      </w:r>
      <w:bookmarkEnd w:id="26"/>
    </w:p>
    <w:p>
      <w:pPr>
        <w:numPr>
          <w:ilvl w:val="0"/>
          <w:numId w:val="1003"/>
        </w:numPr>
        <w:pStyle w:val="Compact"/>
      </w:pPr>
      <w:r>
        <w:t xml:space="preserve">The</w:t>
      </w:r>
      <w:r>
        <w:t xml:space="preserve"> </w:t>
      </w:r>
      <w:r>
        <w:rPr>
          <w:b/>
        </w:rPr>
        <w:t xml:space="preserve">planner</w:t>
      </w:r>
      <w:r>
        <w:t xml:space="preserve"> </w:t>
      </w:r>
      <w:r>
        <w:t xml:space="preserve">as the controller: per-block removal from the coupled solve’s own sensitivities, bisected to the minimum plan on the cool branch, with an energy-conservation cap and a per-tile extractor-capability cap. This is the invention’s working control law and it is not in the filing.</w:t>
      </w:r>
    </w:p>
    <w:p>
      <w:pPr>
        <w:numPr>
          <w:ilvl w:val="0"/>
          <w:numId w:val="1003"/>
        </w:numPr>
        <w:pStyle w:val="Compact"/>
      </w:pPr>
      <w:r>
        <w:t xml:space="preserve">The</w:t>
      </w:r>
      <w:r>
        <w:t xml:space="preserve"> </w:t>
      </w:r>
      <w:r>
        <w:rPr>
          <w:b/>
        </w:rPr>
        <w:t xml:space="preserve">structural constants</w:t>
      </w:r>
      <w:r>
        <w:t xml:space="preserve"> </w:t>
      </w:r>
      <w:r>
        <w:t xml:space="preserve">the array can be built to: a 200 µm pitch buys what 50 µm buys (costs 19.476 / 19.476 / 19.470 W across an 813× range in tile count); 26 % areal coverage holds the same ceiling on the same plan; the array’s footprint is free because the tiles, couplers and LPC sit above the silicon.</w:t>
      </w:r>
    </w:p>
    <w:p>
      <w:pPr>
        <w:numPr>
          <w:ilvl w:val="0"/>
          <w:numId w:val="1003"/>
        </w:numPr>
        <w:pStyle w:val="Compact"/>
      </w:pPr>
      <w:r>
        <w:t xml:space="preserve">The</w:t>
      </w:r>
      <w:r>
        <w:t xml:space="preserve"> </w:t>
      </w:r>
      <w:r>
        <w:rPr>
          <w:b/>
        </w:rPr>
        <w:t xml:space="preserve">non-thermal end of the ladder</w:t>
      </w:r>
      <w:r>
        <w:t xml:space="preserve">, named from the fields: every rung above ~1.3 W/mm² runs the rails at 1.5–3× the native current; the dense cluster’s rails at 2× / 4× that; thermal clock skew grows from 3 % to 8 % of the period. These are the constraints a co-designed die must be built for, and they are claimable as design rules.</w:t>
      </w:r>
    </w:p>
    <w:p>
      <w:pPr>
        <w:numPr>
          <w:ilvl w:val="0"/>
          <w:numId w:val="1003"/>
        </w:numPr>
        <w:pStyle w:val="Compact"/>
      </w:pPr>
      <w:r>
        <w:rPr>
          <w:b/>
        </w:rPr>
        <w:t xml:space="preserve">Dark-silicon recovery</w:t>
      </w:r>
      <w:r>
        <w:t xml:space="preserve"> </w:t>
      </w:r>
      <w:r>
        <w:t xml:space="preserve">as a scheduling method: at 1.2 W/mm² per core the package lights no contiguous quarter of the die, the unpowered layer lights a quarter, the laser lights all 34 cores for 12 W (per-block envelope plans, §P0.29; the seed-shape 17 W was an upper bound).</w:t>
      </w:r>
    </w:p>
    <w:p>
      <w:pPr>
        <w:numPr>
          <w:ilvl w:val="0"/>
          <w:numId w:val="1003"/>
        </w:numPr>
        <w:pStyle w:val="Compact"/>
      </w:pPr>
      <w:r>
        <w:rPr>
          <w:b/>
        </w:rPr>
        <w:t xml:space="preserve">The accelerator on a microchannel plate</w:t>
      </w:r>
      <w:r>
        <w:t xml:space="preserve">: 700 → 2600 W held where the conventional stack has no steady state; a concentrated eight-SM kernel at 700 W held for 32 W.</w:t>
      </w:r>
    </w:p>
    <w:p>
      <w:pPr>
        <w:numPr>
          <w:ilvl w:val="0"/>
          <w:numId w:val="1003"/>
        </w:numPr>
        <w:pStyle w:val="Compact"/>
      </w:pPr>
      <w:r>
        <w:rPr>
          <w:b/>
        </w:rPr>
        <w:t xml:space="preserve">Zone materials</w:t>
      </w:r>
      <w:r>
        <w:t xml:space="preserve">: Cr:LiSAF for the storage zone (280 K knee), the SMILES-R640 dye for the hot zone; Yb:YLF in no zone.</w:t>
      </w:r>
    </w:p>
    <w:p>
      <w:r>
        <w:pict>
          <v:rect style="width:0;height:1.5pt" o:hralign="center" o:hrstd="t" o:hr="t"/>
        </w:pict>
      </w:r>
    </w:p>
    <w:p>
      <w:pPr>
        <w:pStyle w:val="Heading2"/>
      </w:pPr>
      <w:bookmarkStart w:id="27" w:name="Xc9ec8067f3d063645315a45a2c219b8b090f95d"/>
      <w:r>
        <w:t xml:space="preserve">3. The device book (v100, Part VI) against the filing and against the measurements</w:t>
      </w:r>
      <w:bookmarkEnd w:id="27"/>
    </w:p>
    <w:p>
      <w:pPr>
        <w:pStyle w:val="FirstParagraph"/>
      </w:pPr>
      <w:r>
        <w:t xml:space="preserve">The book’s Part VI is the architect’s chapter. Its frame — the architectural budget inequality (1.32) and the hybrid cap (1.33), P_max ∝ 1/(1−s) — is the right one, and our ladder is now expressed in its variable s. The table below is the reconciliation; the memo recommends the non-provisional adopt the book’s frame where the measurements confirm it and depart where they do not.</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Part VI statement (section)</w:t>
            </w:r>
          </w:p>
        </w:tc>
        <w:tc>
          <w:tcPr>
            <w:tcBorders>
              <w:bottom w:val="single"/>
            </w:tcBorders>
            <w:vAlign w:val="bottom"/>
          </w:tcPr>
          <w:p>
            <w:pPr>
              <w:pStyle w:val="Compact"/>
              <w:jc w:val="left"/>
            </w:pPr>
            <w:r>
              <w:t xml:space="preserve">filing</w:t>
            </w:r>
          </w:p>
        </w:tc>
        <w:tc>
          <w:tcPr>
            <w:tcBorders>
              <w:bottom w:val="single"/>
            </w:tcBorders>
            <w:vAlign w:val="bottom"/>
          </w:tcPr>
          <w:p>
            <w:pPr>
              <w:pStyle w:val="Compact"/>
              <w:jc w:val="left"/>
            </w:pPr>
            <w:r>
              <w:t xml:space="preserve">measured</w:t>
            </w:r>
          </w:p>
        </w:tc>
        <w:tc>
          <w:tcPr>
            <w:tcBorders>
              <w:bottom w:val="single"/>
            </w:tcBorders>
            <w:vAlign w:val="bottom"/>
          </w:tcPr>
          <w:p>
            <w:pPr>
              <w:pStyle w:val="Compact"/>
              <w:jc w:val="left"/>
            </w:pPr>
            <w:r>
              <w:t xml:space="preserve">recommendation</w:t>
            </w:r>
          </w:p>
        </w:tc>
      </w:tr>
      <w:tr>
        <w:tc>
          <w:p>
            <w:pPr>
              <w:pStyle w:val="Compact"/>
              <w:jc w:val="left"/>
            </w:pPr>
            <w:r>
              <w:t xml:space="preserve">Hybrid regime: P_max,hyb(s) = P_max,conv/(1−s); doubles at s = 0.5, tenfold at 0.9, diverges as s → 1 (§10.4, eq. 1.33)</w:t>
            </w:r>
          </w:p>
        </w:tc>
        <w:tc>
          <w:p>
            <w:pPr>
              <w:pStyle w:val="Compact"/>
              <w:jc w:val="left"/>
            </w:pPr>
            <w:r>
              <w:t xml:space="preserve">implicit (</w:t>
            </w:r>
            <w:r>
              <w:t xml:space="preserve">“</w:t>
            </w:r>
            <w:r>
              <w:t xml:space="preserve">no TDP limits</w:t>
            </w:r>
            <w:r>
              <w:t xml:space="preserve">”</w:t>
            </w:r>
            <w:r>
              <w:t xml:space="preserve">)</w:t>
            </w:r>
          </w:p>
        </w:tc>
        <w:tc>
          <w:p>
            <w:pPr>
              <w:pStyle w:val="Compact"/>
              <w:jc w:val="left"/>
            </w:pPr>
            <w:r>
              <w:rPr>
                <w:b/>
              </w:rPr>
              <w:t xml:space="preserve">Confirmed and sharpened.</w:t>
            </w:r>
            <w:r>
              <w:t xml:space="preserve"> </w:t>
            </w:r>
            <w:r>
              <w:t xml:space="preserve">Per-block planner (§P0.29): s = 0.10 / 0.36 / 0.59 / 0.79 / 0.84 / 0.89 at 1.20 / 1.60 / 2.00 / 2.40 / 2.60 / 3.00 W/mm² (the seed-shape planner first recorded reached s = 1.00 at 2.40 by spending light where it was not needed). At s = 0.5 the measured cap is more than (1.33)’s 2×, because the control’s ceiling is a leakage runaway</w:t>
            </w:r>
            <w:r>
              <w:t xml:space="preserve"> </w:t>
            </w:r>
            <w:r>
              <w:rPr>
                <w:i/>
              </w:rPr>
              <w:t xml:space="preserve">below</w:t>
            </w:r>
            <w:r>
              <w:t xml:space="preserve"> </w:t>
            </w:r>
            <w:r>
              <w:t xml:space="preserve">the spec wall and the first thing the laser buys is the instability. Where (1.33) diverges the ladder still ends: at 3.50 the array lifts 99 % of the die’s heat and 4.00 is bistable.</w:t>
            </w:r>
          </w:p>
        </w:tc>
        <w:tc>
          <w:p>
            <w:pPr>
              <w:pStyle w:val="Compact"/>
              <w:jc w:val="left"/>
            </w:pPr>
            <w:r>
              <w:t xml:space="preserve">Claim the rescue range and the cost ladder with its planner shape (per-block: 12 W removed at 1.20 → 114 W at 2.00); never the top rung as an operating point.</w:t>
            </w:r>
          </w:p>
        </w:tc>
      </w:tr>
      <w:tr>
        <w:tc>
          <w:p>
            <w:pPr>
              <w:pStyle w:val="Compact"/>
              <w:jc w:val="left"/>
            </w:pPr>
            <w:r>
              <w:t xml:space="preserve">Pure-laser limit bounded by photonic-network throughput and loop feasibility (§10.4)</w:t>
            </w:r>
          </w:p>
        </w:tc>
        <w:tc>
          <w:p>
            <w:pPr>
              <w:pStyle w:val="Compact"/>
              <w:jc w:val="left"/>
            </w:pPr>
            <w:r>
              <w:t xml:space="preserve">—</w:t>
            </w:r>
          </w:p>
        </w:tc>
        <w:tc>
          <w:p>
            <w:pPr>
              <w:pStyle w:val="Compact"/>
              <w:jc w:val="left"/>
            </w:pPr>
            <w:r>
              <w:rPr>
                <w:b/>
              </w:rPr>
              <w:t xml:space="preserve">Confirmed in form, not in the binding term.</w:t>
            </w:r>
            <w:r>
              <w:t xml:space="preserve"> </w:t>
            </w:r>
            <w:r>
              <w:t xml:space="preserve">The top rung is energy conservation on the die, reached before the tile envelope: 0 tiles capped at every rung including 3.50, where the hottest tile asks 23 W/mm² against 813; coldest tile 263 K.</w:t>
            </w:r>
          </w:p>
        </w:tc>
        <w:tc>
          <w:p>
            <w:pPr>
              <w:pStyle w:val="Compact"/>
              <w:jc w:val="left"/>
            </w:pPr>
            <w:r>
              <w:t xml:space="preserve">Do not claim the film as the limit.</w:t>
            </w:r>
          </w:p>
        </w:tc>
      </w:tr>
      <w:tr>
        <w:tc>
          <w:p>
            <w:pPr>
              <w:pStyle w:val="Compact"/>
              <w:jc w:val="left"/>
            </w:pPr>
            <w:r>
              <w:t xml:space="preserve">Near-term: sustained boost-clock recovery (§10.7 item 1)</w:t>
            </w:r>
          </w:p>
        </w:tc>
        <w:tc>
          <w:p>
            <w:pPr>
              <w:pStyle w:val="Compact"/>
              <w:jc w:val="left"/>
            </w:pPr>
            <w:r>
              <w:t xml:space="preserve">“</w:t>
            </w:r>
            <w:r>
              <w:t xml:space="preserve">&gt;10 GHz</w:t>
            </w:r>
            <w:r>
              <w:t xml:space="preserve">”</w:t>
            </w:r>
          </w:p>
        </w:tc>
        <w:tc>
          <w:p>
            <w:pPr>
              <w:pStyle w:val="Compact"/>
              <w:jc w:val="left"/>
            </w:pPr>
            <w:r>
              <w:rPr>
                <w:b/>
              </w:rPr>
              <w:t xml:space="preserve">Confirmed to the device ceiling:</w:t>
            </w:r>
            <w:r>
              <w:t xml:space="preserve"> </w:t>
            </w:r>
            <w:r>
              <w:t xml:space="preserve">control 3.66 GHz at 1.00 W/mm² → 4.17 GHz (+14 %); +26 % at 1.20; +34 % on the shipped table (4.86 GHz, thermally limited at 2.28 W/mm² with 235 W removed). Efficiency per package watt falls with clock on every arm.</w:t>
            </w:r>
          </w:p>
        </w:tc>
        <w:tc>
          <w:p>
            <w:pPr>
              <w:pStyle w:val="Compact"/>
              <w:jc w:val="left"/>
            </w:pPr>
            <w:r>
              <w:t xml:space="preserve">Claim</w:t>
            </w:r>
            <w:r>
              <w:t xml:space="preserve"> </w:t>
            </w:r>
            <w:r>
              <w:t xml:space="preserve">“</w:t>
            </w:r>
            <w:r>
              <w:t xml:space="preserve">clock to the device’s V/F ceiling under a thermal limit</w:t>
            </w:r>
            <w:r>
              <w:t xml:space="preserve">”</w:t>
            </w:r>
            <w:r>
              <w:t xml:space="preserve">; never a GHz figure above it.</w:t>
            </w:r>
          </w:p>
        </w:tc>
      </w:tr>
      <w:tr>
        <w:tc>
          <w:p>
            <w:pPr>
              <w:pStyle w:val="Compact"/>
              <w:jc w:val="left"/>
            </w:pPr>
            <w:r>
              <w:t xml:space="preserve">Near-term: leakage suppression 16× at ΔT = 40 K, recovering 18–38 % of budget (§10.2, §10.7 item 2)</w:t>
            </w:r>
          </w:p>
        </w:tc>
        <w:tc>
          <w:p>
            <w:pPr>
              <w:pStyle w:val="Compact"/>
              <w:jc w:val="left"/>
            </w:pPr>
            <w:r>
              <w:t xml:space="preserve">“</w:t>
            </w:r>
            <w:r>
              <w:t xml:space="preserve">&gt; 50 % leakage cut at &lt; 50 °C</w:t>
            </w:r>
            <w:r>
              <w:t xml:space="preserve">”</w:t>
            </w:r>
          </w:p>
        </w:tc>
        <w:tc>
          <w:p>
            <w:pPr>
              <w:pStyle w:val="Compact"/>
              <w:jc w:val="left"/>
            </w:pPr>
            <w:r>
              <w:rPr>
                <w:b/>
              </w:rPr>
              <w:t xml:space="preserve">Smaller and different in shape.</w:t>
            </w:r>
            <w:r>
              <w:t xml:space="preserve"> </w:t>
            </w:r>
            <w:r>
              <w:t xml:space="preserve">The simulated device’s doubling temperature is 19–23 K above 345 K, not 10 K; the cold floor is GIDL, not gate leakage; cache leakage falls</w:t>
            </w:r>
            <w:r>
              <w:t xml:space="preserve"> </w:t>
            </w:r>
            <w:r>
              <w:rPr>
                <w:b/>
              </w:rPr>
              <w:t xml:space="preserve">3.6× at 280 K</w:t>
            </w:r>
            <w:r>
              <w:t xml:space="preserve"> </w:t>
            </w:r>
            <w:r>
              <w:t xml:space="preserve">and the prize saturates there. The absolute share is ~6–14 % of die power.</w:t>
            </w:r>
          </w:p>
        </w:tc>
        <w:tc>
          <w:p>
            <w:pPr>
              <w:pStyle w:val="Compact"/>
              <w:jc w:val="left"/>
            </w:pPr>
            <w:r>
              <w:t xml:space="preserve">Quote 2.23× (the ratio invariant to accounting) and the 280 K knee.</w:t>
            </w:r>
          </w:p>
        </w:tc>
      </w:tr>
      <w:tr>
        <w:tc>
          <w:p>
            <w:pPr>
              <w:pStyle w:val="Compact"/>
              <w:jc w:val="left"/>
            </w:pPr>
            <w:r>
              <w:t xml:space="preserve">Near-term: dark-silicon recovery, 20–40 % of area (§10.7 item 3)</w:t>
            </w:r>
          </w:p>
        </w:tc>
        <w:tc>
          <w:p>
            <w:pPr>
              <w:pStyle w:val="Compact"/>
              <w:jc w:val="left"/>
            </w:pPr>
            <w:r>
              <w:t xml:space="preserve">“</w:t>
            </w:r>
            <w:r>
              <w:t xml:space="preserve">reduce thermally-driven power gating</w:t>
            </w:r>
            <w:r>
              <w:t xml:space="preserve">”</w:t>
            </w:r>
          </w:p>
        </w:tc>
        <w:tc>
          <w:p>
            <w:pPr>
              <w:pStyle w:val="Compact"/>
              <w:jc w:val="left"/>
            </w:pPr>
            <w:r>
              <w:rPr>
                <w:b/>
              </w:rPr>
              <w:t xml:space="preserve">Confirmed:</w:t>
            </w:r>
            <w:r>
              <w:t xml:space="preserve"> </w:t>
            </w:r>
            <w:r>
              <w:t xml:space="preserve">at 1.2 W/mm² per core, 0 % → 100 % of cores lit for 17 W; the recovery claim starts at ~1.0 W/mm² per core (the native die lights unaided).</w:t>
            </w:r>
          </w:p>
        </w:tc>
        <w:tc>
          <w:p>
            <w:pPr>
              <w:pStyle w:val="Compact"/>
              <w:jc w:val="left"/>
            </w:pPr>
            <w:r>
              <w:t xml:space="preserve">Claim as a method (route cooling to lit cores).</w:t>
            </w:r>
          </w:p>
        </w:tc>
      </w:tr>
      <w:tr>
        <w:tc>
          <w:p>
            <w:pPr>
              <w:pStyle w:val="Compact"/>
              <w:jc w:val="left"/>
            </w:pPr>
            <w:r>
              <w:t xml:space="preserve">Near-term: 1.5–2× compute per watt at the same node (§10.7 item 4, §10.12)</w:t>
            </w:r>
          </w:p>
        </w:tc>
        <w:tc>
          <w:p>
            <w:pPr>
              <w:pStyle w:val="Compact"/>
              <w:jc w:val="left"/>
            </w:pPr>
            <w:r>
              <w:t xml:space="preserve">“</w:t>
            </w:r>
            <w:r>
              <w:t xml:space="preserve">&gt; 2× throughput and &gt; 10× COP</w:t>
            </w:r>
            <w:r>
              <w:t xml:space="preserve">”</w:t>
            </w:r>
          </w:p>
        </w:tc>
        <w:tc>
          <w:p>
            <w:pPr>
              <w:pStyle w:val="Compact"/>
              <w:jc w:val="left"/>
            </w:pPr>
            <w:r>
              <w:rPr>
                <w:b/>
              </w:rPr>
              <w:t xml:space="preserve">Not confirmed as an efficiency.</w:t>
            </w:r>
            <w:r>
              <w:t xml:space="preserve"> </w:t>
            </w:r>
            <w:r>
              <w:t xml:space="preserve">GFLOP/s per</w:t>
            </w:r>
            <w:r>
              <w:t xml:space="preserve"> </w:t>
            </w:r>
            <w:r>
              <w:rPr>
                <w:i/>
              </w:rPr>
              <w:t xml:space="preserve">package</w:t>
            </w:r>
            <w:r>
              <w:t xml:space="preserve"> </w:t>
            </w:r>
            <w:r>
              <w:t xml:space="preserve">watt falls with clock on every arm (33.9 → 24.5 at 1.00 W/mm²). What rises is performance per</w:t>
            </w:r>
            <w:r>
              <w:t xml:space="preserve"> </w:t>
            </w:r>
            <w:r>
              <w:rPr>
                <w:i/>
              </w:rPr>
              <w:t xml:space="preserve">package</w:t>
            </w:r>
            <w:r>
              <w:t xml:space="preserve"> </w:t>
            </w:r>
            <w:r>
              <w:t xml:space="preserve">(3.8× the die watts on the same 88 CFM package; 2.2× on the 70-core).</w:t>
            </w:r>
          </w:p>
        </w:tc>
        <w:tc>
          <w:p>
            <w:pPr>
              <w:pStyle w:val="Compact"/>
              <w:jc w:val="left"/>
            </w:pPr>
            <w:r>
              <w:t xml:space="preserve">State the efficiency claim as performance per package at fixed cooling infrastructure, not FLOPS/W.</w:t>
            </w:r>
          </w:p>
        </w:tc>
      </w:tr>
      <w:tr>
        <w:tc>
          <w:p>
            <w:pPr>
              <w:pStyle w:val="Compact"/>
              <w:jc w:val="left"/>
            </w:pPr>
            <w:r>
              <w:t xml:space="preserve">Pump economy, tiers, temporal targeting (§10.8)</w:t>
            </w:r>
          </w:p>
        </w:tc>
        <w:tc>
          <w:p>
            <w:pPr>
              <w:pStyle w:val="Compact"/>
              <w:jc w:val="left"/>
            </w:pPr>
            <w:r>
              <w:t xml:space="preserve">“</w:t>
            </w:r>
            <w:r>
              <w:t xml:space="preserve">dynamic laser allocation</w:t>
            </w:r>
            <w:r>
              <w:t xml:space="preserve">”</w:t>
            </w:r>
          </w:p>
        </w:tc>
        <w:tc>
          <w:p>
            <w:pPr>
              <w:pStyle w:val="Compact"/>
              <w:jc w:val="left"/>
            </w:pPr>
            <w:r>
              <w:rPr>
                <w:b/>
              </w:rPr>
              <w:t xml:space="preserve">Confirmed in the burst experiment:</w:t>
            </w:r>
            <w:r>
              <w:t xml:space="preserve"> </w:t>
            </w:r>
            <w:r>
              <w:t xml:space="preserve">the array’s speed, not its capacity, is the differentiator; the modulated array holds a 2× burst under target. Tile flux during a burst reaches 13 W/mm² for 10 ms — the first demand above the steady 5 W/mm² rule, still 60× under the film.</w:t>
            </w:r>
          </w:p>
        </w:tc>
        <w:tc>
          <w:p>
            <w:pPr>
              <w:pStyle w:val="Compact"/>
              <w:jc w:val="left"/>
            </w:pPr>
            <w:r>
              <w:t xml:space="preserve">Claim the feed-forward controller; state the transient tile flux.</w:t>
            </w:r>
          </w:p>
        </w:tc>
      </w:tr>
      <w:tr>
        <w:tc>
          <w:p>
            <w:pPr>
              <w:pStyle w:val="Compact"/>
              <w:jc w:val="left"/>
            </w:pPr>
            <w:r>
              <w:t xml:space="preserve">Three-zone die: compute hot (500–600 K), interconnect 300–400 K, storage cold (150–250 K on Yb:YLF) (§10.9, Table 10.8)</w:t>
            </w:r>
          </w:p>
        </w:tc>
        <w:tc>
          <w:p>
            <w:pPr>
              <w:pStyle w:val="Compact"/>
              <w:jc w:val="left"/>
            </w:pPr>
            <w:r>
              <w:t xml:space="preserve">“</w:t>
            </w:r>
            <w:r>
              <w:t xml:space="preserve">cooled registers &lt; 50 °C</w:t>
            </w:r>
            <w:r>
              <w:t xml:space="preserve">”</w:t>
            </w:r>
            <w:r>
              <w:t xml:space="preserve">; 3D stacks with photonic vias</w:t>
            </w:r>
          </w:p>
        </w:tc>
        <w:tc>
          <w:p>
            <w:pPr>
              <w:pStyle w:val="Compact"/>
              <w:jc w:val="left"/>
            </w:pPr>
            <w:r>
              <w:rPr>
                <w:b/>
              </w:rPr>
              <w:t xml:space="preserve">Falsified on a monolithic die</w:t>
            </w:r>
            <w:r>
              <w:t xml:space="preserve"> </w:t>
            </w:r>
            <w:r>
              <w:t xml:space="preserve">(40 W buys 1.24 K of gradient; 280 K on the compute die costs the whole die)</w:t>
            </w:r>
            <w:r>
              <w:t xml:space="preserve"> </w:t>
            </w:r>
            <w:r>
              <w:rPr>
                <w:b/>
              </w:rPr>
              <w:t xml:space="preserve">and on the sink-side two-die stack</w:t>
            </w:r>
            <w:r>
              <w:t xml:space="preserve"> </w:t>
            </w:r>
            <w:r>
              <w:t xml:space="preserve">(X4, 11 Sep). Yb:YLF is withdrawn as a zone material; Cr:LiSAF is the storage-zone film (η_EQE = 1 ceilings; needs η_EQE &gt; 0.94). The 500–600 K compute zone is a metallization story (W/Mo/Ta BEOL, SiC/GaN devices) the book itself flags; no rung of ours goes above 400 K.</w:t>
            </w:r>
          </w:p>
        </w:tc>
        <w:tc>
          <w:p>
            <w:pPr>
              <w:pStyle w:val="Compact"/>
              <w:jc w:val="left"/>
            </w:pPr>
            <w:r>
              <w:t xml:space="preserve">Claim the two-zone die only in the form that survives: storage die</w:t>
            </w:r>
            <w:r>
              <w:t xml:space="preserve"> </w:t>
            </w:r>
            <w:r>
              <w:rPr>
                <w:i/>
              </w:rPr>
              <w:t xml:space="preserve">off</w:t>
            </w:r>
            <w:r>
              <w:t xml:space="preserve"> </w:t>
            </w:r>
            <w:r>
              <w:t xml:space="preserve">the compute die’s heat path, Cr:LiSAF at ~280 K; the hot compute zone as a long-horizon embodiment tied to refractory metallization.</w:t>
            </w:r>
          </w:p>
        </w:tc>
      </w:tr>
      <w:tr>
        <w:tc>
          <w:p>
            <w:pPr>
              <w:pStyle w:val="Compact"/>
              <w:jc w:val="left"/>
            </w:pPr>
            <w:r>
              <w:t xml:space="preserve">Long-term: 3D stacking with tight thermal coupling, photonic cooling between layers (§10.10 item 1)</w:t>
            </w:r>
          </w:p>
        </w:tc>
        <w:tc>
          <w:p>
            <w:pPr>
              <w:pStyle w:val="Compact"/>
              <w:jc w:val="left"/>
            </w:pPr>
            <w:r>
              <w:t xml:space="preserve">“</w:t>
            </w:r>
            <w:r>
              <w:t xml:space="preserve">vertical photonic vias</w:t>
            </w:r>
            <w:r>
              <w:t xml:space="preserve">”</w:t>
            </w:r>
          </w:p>
        </w:tc>
        <w:tc>
          <w:p>
            <w:pPr>
              <w:pStyle w:val="Compact"/>
              <w:jc w:val="left"/>
            </w:pPr>
            <w:r>
              <w:rPr>
                <w:b/>
              </w:rPr>
              <w:t xml:space="preserve">Contradicted for the buried-storage form.</w:t>
            </w:r>
            <w:r>
              <w:t xml:space="preserve"> </w:t>
            </w:r>
            <w:r>
              <w:t xml:space="preserve">A die between the compute die and the sink is the compute die’s heat path; the book’s own thermal-via remedy raises coupling, which is the opposite of what a cold storage zone needs.</w:t>
            </w:r>
          </w:p>
        </w:tc>
        <w:tc>
          <w:p>
            <w:pPr>
              <w:pStyle w:val="Compact"/>
              <w:jc w:val="left"/>
            </w:pPr>
            <w:r>
              <w:t xml:space="preserve">Two-sided stack (two sinks, two arrays) or 2.5D beside-die placement.</w:t>
            </w:r>
          </w:p>
        </w:tc>
      </w:tr>
      <w:tr>
        <w:tc>
          <w:p>
            <w:pPr>
              <w:pStyle w:val="Compact"/>
              <w:jc w:val="left"/>
            </w:pPr>
            <w:r>
              <w:t xml:space="preserve">Long-term: higher-density wire layouts, larger on-die memories, rebalanced V_dd/V_th (§10.10 items 2–4)</w:t>
            </w:r>
          </w:p>
        </w:tc>
        <w:tc>
          <w:p>
            <w:pPr>
              <w:pStyle w:val="Compact"/>
              <w:jc w:val="left"/>
            </w:pPr>
            <w:r>
              <w:t xml:space="preserve">“</w:t>
            </w:r>
            <w:r>
              <w:t xml:space="preserve">denser FUs</w:t>
            </w:r>
            <w:r>
              <w:t xml:space="preserve">”</w:t>
            </w:r>
            <w:r>
              <w:t xml:space="preserve">,</w:t>
            </w:r>
            <w:r>
              <w:t xml:space="preserve"> </w:t>
            </w:r>
            <w:r>
              <w:t xml:space="preserve">“</w:t>
            </w:r>
            <w:r>
              <w:t xml:space="preserve">&gt; 512-entry files</w:t>
            </w:r>
            <w:r>
              <w:t xml:space="preserve">”</w:t>
            </w:r>
          </w:p>
        </w:tc>
        <w:tc>
          <w:p>
            <w:pPr>
              <w:pStyle w:val="Compact"/>
              <w:jc w:val="left"/>
            </w:pPr>
            <w:r>
              <w:rPr>
                <w:b/>
              </w:rPr>
              <w:t xml:space="preserve">Density measured (D1, X3); V_th argued.</w:t>
            </w:r>
            <w:r>
              <w:t xml:space="preserve"> </w:t>
            </w:r>
            <w:r>
              <w:t xml:space="preserve">The V_th lever re-priced on the simulated device: 25 mV ≈ +7.6 % clock for 22–30 K of lift (inside the demonstrated 45 K), 50 mV ≈ 45–60 K (not). Larger memories: measured as leakage, not as hit rate.</w:t>
            </w:r>
          </w:p>
        </w:tc>
        <w:tc>
          <w:p>
            <w:pPr>
              <w:pStyle w:val="Compact"/>
              <w:jc w:val="left"/>
            </w:pPr>
            <w:r>
              <w:t xml:space="preserve">Claim the low-V_th-under-the-array embodiment with the 25 mV step; not larger.</w:t>
            </w:r>
          </w:p>
        </w:tc>
      </w:tr>
      <w:tr>
        <w:tc>
          <w:p>
            <w:pPr>
              <w:pStyle w:val="Compact"/>
              <w:jc w:val="left"/>
            </w:pPr>
            <w:r>
              <w:t xml:space="preserve">Net generation at Tier III on 600 K zones (§10.10 item 5)</w:t>
            </w:r>
          </w:p>
        </w:tc>
        <w:tc>
          <w:p>
            <w:pPr>
              <w:pStyle w:val="Compact"/>
              <w:jc w:val="left"/>
            </w:pPr>
            <w:r>
              <w:t xml:space="preserve">“</w:t>
            </w:r>
            <w:r>
              <w:t xml:space="preserve">160 % net generation</w:t>
            </w:r>
            <w:r>
              <w:t xml:space="preserve">”</w:t>
            </w:r>
          </w:p>
        </w:tc>
        <w:tc>
          <w:p>
            <w:pPr>
              <w:pStyle w:val="Compact"/>
              <w:jc w:val="left"/>
            </w:pPr>
            <w:r>
              <w:rPr>
                <w:b/>
              </w:rPr>
              <w:t xml:space="preserve">Reserved.</w:t>
            </w:r>
            <w:r>
              <w:t xml:space="preserve"> </w:t>
            </w:r>
            <w:r>
              <w:t xml:space="preserve">Export crossing 614 K; reached only with the BEOL wall moved.</w:t>
            </w:r>
          </w:p>
        </w:tc>
        <w:tc>
          <w:p>
            <w:pPr>
              <w:pStyle w:val="Compact"/>
              <w:jc w:val="left"/>
            </w:pPr>
            <w:r>
              <w:t xml:space="preserve">Long-horizon embodiment; no percentage.</w:t>
            </w:r>
          </w:p>
        </w:tc>
      </w:tr>
      <w:tr>
        <w:tc>
          <w:p>
            <w:pPr>
              <w:pStyle w:val="Compact"/>
              <w:jc w:val="left"/>
            </w:pPr>
            <w:r>
              <w:t xml:space="preserve">What does not change: Landauer, wire delay, silicon cost, ISA (§10.10)</w:t>
            </w:r>
          </w:p>
        </w:tc>
        <w:tc>
          <w:p>
            <w:pPr>
              <w:pStyle w:val="Compact"/>
              <w:jc w:val="left"/>
            </w:pPr>
            <w:r>
              <w:t xml:space="preserve">(the filing implies otherwise)</w:t>
            </w:r>
          </w:p>
        </w:tc>
        <w:tc>
          <w:p>
            <w:pPr>
              <w:pStyle w:val="Compact"/>
              <w:jc w:val="left"/>
            </w:pPr>
            <w:r>
              <w:rPr>
                <w:b/>
              </w:rPr>
              <w:t xml:space="preserve">Agreed, and sharpened:</w:t>
            </w:r>
            <w:r>
              <w:t xml:space="preserve"> </w:t>
            </w:r>
            <w:r>
              <w:t xml:space="preserve">the ISA-level claims in the filing (SIMD width, branch predictor coupling) are exactly the ones we have not measured.</w:t>
            </w:r>
          </w:p>
        </w:tc>
        <w:tc>
          <w:p>
            <w:pPr>
              <w:pStyle w:val="Compact"/>
              <w:jc w:val="left"/>
            </w:pPr>
            <w:r>
              <w:t xml:space="preserve">Drop from the independent claims.</w:t>
            </w:r>
          </w:p>
        </w:tc>
      </w:tr>
      <w:tr>
        <w:tc>
          <w:p>
            <w:pPr>
              <w:pStyle w:val="Compact"/>
              <w:jc w:val="left"/>
            </w:pPr>
            <w:r>
              <w:t xml:space="preserve">Deployment trajectory: hybrid retrofit → architecturally-aware hybrid → pure/3D (§10.11)</w:t>
            </w:r>
          </w:p>
        </w:tc>
        <w:tc>
          <w:p>
            <w:pPr>
              <w:pStyle w:val="Compact"/>
              <w:jc w:val="left"/>
            </w:pPr>
            <w:r>
              <w:t xml:space="preserve">—</w:t>
            </w:r>
          </w:p>
        </w:tc>
        <w:tc>
          <w:p>
            <w:pPr>
              <w:pStyle w:val="Compact"/>
              <w:jc w:val="left"/>
            </w:pPr>
            <w:r>
              <w:rPr>
                <w:b/>
              </w:rPr>
              <w:t xml:space="preserve">Matches the integration ladder of Section 7</w:t>
            </w:r>
            <w:r>
              <w:t xml:space="preserve">, with the measured caveat that the</w:t>
            </w:r>
            <w:r>
              <w:t xml:space="preserve"> </w:t>
            </w:r>
            <w:r>
              <w:t xml:space="preserve">“</w:t>
            </w:r>
            <w:r>
              <w:t xml:space="preserve">3D</w:t>
            </w:r>
            <w:r>
              <w:t xml:space="preserve">”</w:t>
            </w:r>
            <w:r>
              <w:t xml:space="preserve"> </w:t>
            </w:r>
            <w:r>
              <w:t xml:space="preserve">endpoint must be two-sided.</w:t>
            </w:r>
          </w:p>
        </w:tc>
        <w:tc>
          <w:p>
            <w:pPr>
              <w:pStyle w:val="Compact"/>
              <w:jc w:val="left"/>
            </w:pPr>
            <w:r>
              <w:t xml:space="preserve">Use as the structure of the specification’s embodiments.</w:t>
            </w:r>
          </w:p>
        </w:tc>
      </w:tr>
    </w:tbl>
    <w:p>
      <w:r>
        <w:pict>
          <v:rect style="width:0;height:1.5pt" o:hralign="center" o:hrstd="t" o:hr="t"/>
        </w:pict>
      </w:r>
    </w:p>
    <w:p>
      <w:pPr>
        <w:pStyle w:val="Heading2"/>
      </w:pPr>
      <w:bookmarkStart w:id="28" w:name="X3db88aa4223925696786514a236073ba98b53f8"/>
      <w:r>
        <w:t xml:space="preserve">4. What has been measured since the filing (the quotable record)</w:t>
      </w:r>
      <w:bookmarkEnd w:id="28"/>
    </w:p>
    <w:p>
      <w:pPr>
        <w:pStyle w:val="FirstParagraph"/>
      </w:pPr>
      <w:r>
        <w:t xml:space="preserve">Each row is a register §1 entry; the evidence file is in</w:t>
      </w:r>
      <w:r>
        <w:t xml:space="preserve"> </w:t>
      </w:r>
      <w:r>
        <w:rPr>
          <w:rStyle w:val="VerbatimChar"/>
        </w:rPr>
        <w:t xml:space="preserve">results/</w:t>
      </w:r>
      <w:r>
        <w:t xml:space="preserve">. Operating points are die-average W/mm² at the trace clock (3.8 GHz), arm D (simulated BSIM-CMG leakage curve, amortized bus, hierarchy-consistent per-core accounting), 88 CFM, unless stated.</w:t>
      </w:r>
    </w:p>
    <w:p>
      <w:pPr>
        <w:pStyle w:val="BodyText"/>
      </w:pPr>
      <w:r>
        <w:rPr>
          <w:b/>
        </w:rPr>
        <w:t xml:space="preserve">4.1 The rescue.</w:t>
      </w:r>
      <w:r>
        <w:t xml:space="preserve"> </w:t>
      </w:r>
      <w:r>
        <w:t xml:space="preserve">The laser holds a die that has no steady state; an unpowered array of the same film does not: 35/35 points across 20–120 CFM and the pitch ladder on three leakage curves (</w:t>
      </w:r>
      <w:r>
        <w:rPr>
          <w:rStyle w:val="VerbatimChar"/>
        </w:rPr>
        <w:t xml:space="preserve">mr_catalogue_curve_compare.json</w:t>
      </w:r>
      <w:r>
        <w:t xml:space="preserve">). Under the corrected inputs the control fails at 0.60–0.65 W/mm² (real power map) and 0.85–0.90 (flat map); the unpowered array holds 1.10 and fails 1.20; the driven array holds to 2.40 under the seed-shape planner (</w:t>
      </w:r>
      <w:r>
        <w:rPr>
          <w:rStyle w:val="VerbatimChar"/>
        </w:rPr>
        <w:t xml:space="preserve">array_coverage_armD.json</w:t>
      </w:r>
      <w:r>
        <w:t xml:space="preserve">,</w:t>
      </w:r>
      <w:r>
        <w:t xml:space="preserve"> </w:t>
      </w:r>
      <w:r>
        <w:rPr>
          <w:rStyle w:val="VerbatimChar"/>
        </w:rPr>
        <w:t xml:space="preserve">extractor_armD.json</w:t>
      </w:r>
      <w:r>
        <w:t xml:space="preserve">) and to</w:t>
      </w:r>
      <w:r>
        <w:t xml:space="preserve"> </w:t>
      </w:r>
      <w:r>
        <w:rPr>
          <w:b/>
        </w:rPr>
        <w:t xml:space="preserve">3.50</w:t>
      </w:r>
      <w:r>
        <w:t xml:space="preserve"> </w:t>
      </w:r>
      <w:r>
        <w:t xml:space="preserve">under the per-block planner (</w:t>
      </w:r>
      <w:r>
        <w:rPr>
          <w:rStyle w:val="VerbatimChar"/>
        </w:rPr>
        <w:t xml:space="preserve">rescue_ladder_power.json</w:t>
      </w:r>
      <w:r>
        <w:t xml:space="preserve">, 13 Sep; s = 0.99 at 3.50, conservation; 4.00 is bistable). Cost ladder, with the planner’s shape: seed 17 W removed at 1.20 → 139 W at 2.00;</w:t>
      </w:r>
      <w:r>
        <w:t xml:space="preserve"> </w:t>
      </w:r>
      <w:r>
        <w:rPr>
          <w:b/>
        </w:rPr>
        <w:t xml:space="preserve">per-block 12 → 114 W</w:t>
      </w:r>
      <w:r>
        <w:t xml:space="preserve"> </w:t>
      </w:r>
      <w:r>
        <w:t xml:space="preserve">(18–33 % less; the seed plans were upper bounds); effective COP with recovery 1.64 at the seed-shape 2.00 rung.</w:t>
      </w:r>
    </w:p>
    <w:p>
      <w:pPr>
        <w:pStyle w:val="CaptionedFigure"/>
      </w:pPr>
      <w:r>
        <w:drawing>
          <wp:inline>
            <wp:extent cx="5334000" cy="2323509"/>
            <wp:effectExtent b="0" l="0" r="0" t="0"/>
            <wp:docPr descr="Figure 4.1 — The rescue ladder and the array’s share s of the die’s heat (register §1.3)." title="" id="1" name="Picture"/>
            <a:graphic>
              <a:graphicData uri="http://schemas.openxmlformats.org/drawingml/2006/picture">
                <pic:pic>
                  <pic:nvPicPr>
                    <pic:cNvPr descr="figures/ev_rescue_ladder.png" id="0" name="Picture"/>
                    <pic:cNvPicPr>
                      <a:picLocks noChangeArrowheads="1" noChangeAspect="1"/>
                    </pic:cNvPicPr>
                  </pic:nvPicPr>
                  <pic:blipFill>
                    <a:blip r:embed="rId29"/>
                    <a:stretch>
                      <a:fillRect/>
                    </a:stretch>
                  </pic:blipFill>
                  <pic:spPr bwMode="auto">
                    <a:xfrm>
                      <a:off x="0" y="0"/>
                      <a:ext cx="5334000" cy="2323509"/>
                    </a:xfrm>
                    <a:prstGeom prst="rect">
                      <a:avLst/>
                    </a:prstGeom>
                    <a:noFill/>
                    <a:ln w="9525">
                      <a:noFill/>
                      <a:headEnd/>
                      <a:tailEnd/>
                    </a:ln>
                  </pic:spPr>
                </pic:pic>
              </a:graphicData>
            </a:graphic>
          </wp:inline>
        </w:drawing>
      </w:r>
    </w:p>
    <w:p>
      <w:pPr>
        <w:pStyle w:val="ImageCaption"/>
      </w:pPr>
      <w:r>
        <w:t xml:space="preserve">Figure 4.1 — The rescue ladder and the array’s share s of the die’s heat (register §1.3).</w:t>
      </w:r>
    </w:p>
    <w:p>
      <w:pPr>
        <w:pStyle w:val="BodyText"/>
      </w:pPr>
      <w:r>
        <w:rPr>
          <w:b/>
        </w:rPr>
        <w:t xml:space="preserve">4.2 The structural constants.</w:t>
      </w:r>
      <w:r>
        <w:t xml:space="preserve"> </w:t>
      </w:r>
      <w:r>
        <w:t xml:space="preserve">Pitch: 50 / 100 / 200 µm cost 19.476 / 19.476 / 19.470 W — a plateau set by the 200 µm of silicon between the tiles and the transistors; coarser than 200 µm degrades. Coverage: 26 % of the pixel layer’s area (644 of 1126 blocks under gaps) holds the same rung on the same minimum plan within 1.6 %. Extractor: 0 tiles capped at every rung by the target device; max steady demand 5.3 W/mm² (accelerator) and 41 W/mm² only at quarter coverage; the coldest tile ever driven is 263 K.</w:t>
      </w:r>
    </w:p>
    <w:p>
      <w:pPr>
        <w:pStyle w:val="BodyText"/>
      </w:pPr>
      <w:r>
        <w:rPr>
          <w:b/>
        </w:rPr>
        <w:t xml:space="preserve">4.3 Clock as the free variable (F1c).</w:t>
      </w:r>
      <w:r>
        <w:t xml:space="preserve"> </w:t>
      </w:r>
      <w:r>
        <w:t xml:space="preserve">At 1.00 W/mm² the package clocks the die down to 3.66 GHz; the laser runs it at the device ceiling 4.17 GHz (+14 %, 38 W removed); +26 % at 1.20 (78 W); on the shipped 5 GHz table 4.86 GHz (+34 %, 235 W removed, thermally limited at 2.28 W/mm²). GFLOP/s per package watt falls with clock on every arm (</w:t>
      </w:r>
      <w:r>
        <w:rPr>
          <w:rStyle w:val="VerbatimChar"/>
        </w:rPr>
        <w:t xml:space="preserve">clock_f1c_density.json</w:t>
      </w:r>
      <w:r>
        <w:t xml:space="preserve">).</w:t>
      </w:r>
    </w:p>
    <w:p>
      <w:pPr>
        <w:pStyle w:val="CaptionedFigure"/>
      </w:pPr>
      <w:r>
        <w:drawing>
          <wp:inline>
            <wp:extent cx="5334000" cy="2364298"/>
            <wp:effectExtent b="0" l="0" r="0" t="0"/>
            <wp:docPr descr="Figure 4.3 — Clock as the free variable (F1c). The 4.17 GHz line is the gate-only model’s ceiling." title="" id="1" name="Picture"/>
            <a:graphic>
              <a:graphicData uri="http://schemas.openxmlformats.org/drawingml/2006/picture">
                <pic:pic>
                  <pic:nvPicPr>
                    <pic:cNvPr descr="figures/ev_clock_vs_cooling.png" id="0" name="Picture"/>
                    <pic:cNvPicPr>
                      <a:picLocks noChangeArrowheads="1" noChangeAspect="1"/>
                    </pic:cNvPicPr>
                  </pic:nvPicPr>
                  <pic:blipFill>
                    <a:blip r:embed="rId30"/>
                    <a:stretch>
                      <a:fillRect/>
                    </a:stretch>
                  </pic:blipFill>
                  <pic:spPr bwMode="auto">
                    <a:xfrm>
                      <a:off x="0" y="0"/>
                      <a:ext cx="5334000" cy="2364298"/>
                    </a:xfrm>
                    <a:prstGeom prst="rect">
                      <a:avLst/>
                    </a:prstGeom>
                    <a:noFill/>
                    <a:ln w="9525">
                      <a:noFill/>
                      <a:headEnd/>
                      <a:tailEnd/>
                    </a:ln>
                  </pic:spPr>
                </pic:pic>
              </a:graphicData>
            </a:graphic>
          </wp:inline>
        </w:drawing>
      </w:r>
    </w:p>
    <w:p>
      <w:pPr>
        <w:pStyle w:val="ImageCaption"/>
      </w:pPr>
      <w:r>
        <w:t xml:space="preserve">Figure 4.3 — Clock as the free variable (F1c). The 4.17 GHz line is the gate-only model’s ceiling.</w:t>
      </w:r>
    </w:p>
    <w:p>
      <w:pPr>
        <w:pStyle w:val="CaptionedFigure"/>
      </w:pPr>
      <w:r>
        <w:drawing>
          <wp:inline>
            <wp:extent cx="5334000" cy="2134172"/>
            <wp:effectExtent b="0" l="0" r="0" t="0"/>
            <wp:docPr descr="Figure 4.3b — The clock search generalized (§P0.31, 13 Sep): the reliability budget as an Arrhenius ladder (left) and the coupled search with each row’s limiter named (right). The laser arm ends at 3.76–3.83 GHz at the 92 °C target, 4.08 GHz at a 60 °C target, 5.75 GHz on a 10-FO4 pipeline where the cooler binds again." title="" id="1" name="Picture"/>
            <a:graphic>
              <a:graphicData uri="http://schemas.openxmlformats.org/drawingml/2006/picture">
                <pic:pic>
                  <pic:nvPicPr>
                    <pic:cNvPr descr="figures/ev_fmax_generalized.png" id="0" name="Picture"/>
                    <pic:cNvPicPr>
                      <a:picLocks noChangeArrowheads="1" noChangeAspect="1"/>
                    </pic:cNvPicPr>
                  </pic:nvPicPr>
                  <pic:blipFill>
                    <a:blip r:embed="rId31"/>
                    <a:stretch>
                      <a:fillRect/>
                    </a:stretch>
                  </pic:blipFill>
                  <pic:spPr bwMode="auto">
                    <a:xfrm>
                      <a:off x="0" y="0"/>
                      <a:ext cx="5334000" cy="2134172"/>
                    </a:xfrm>
                    <a:prstGeom prst="rect">
                      <a:avLst/>
                    </a:prstGeom>
                    <a:noFill/>
                    <a:ln w="9525">
                      <a:noFill/>
                      <a:headEnd/>
                      <a:tailEnd/>
                    </a:ln>
                  </pic:spPr>
                </pic:pic>
              </a:graphicData>
            </a:graphic>
          </wp:inline>
        </w:drawing>
      </w:r>
    </w:p>
    <w:p>
      <w:pPr>
        <w:pStyle w:val="ImageCaption"/>
      </w:pPr>
      <w:r>
        <w:t xml:space="preserve">Figure 4.3b — The clock search generalized (§P0.31, 13 Sep): the reliability budget as an Arrhenius ladder (left) and the coupled search with each row’s limiter named (right). The laser arm ends at 3.76–3.83 GHz at the 92 °C target, 4.08 GHz at a 60 °C target, 5.75 GHz on a 10-FO4 pipeline where the cooler binds again.</w:t>
      </w:r>
    </w:p>
    <w:p>
      <w:pPr>
        <w:pStyle w:val="CaptionedFigure"/>
      </w:pPr>
      <w:r>
        <w:drawing>
          <wp:inline>
            <wp:extent cx="5334000" cy="2341926"/>
            <wp:effectExtent b="0" l="0" r="0" t="0"/>
            <wp:docPr descr="Figure 4.3c — IPC(f) from CoMeT (§P0.33): a fifth of every clock gain is lost to the memory wall (elasticity 0.78–0.84 at the F1c clocks)." title="" id="1" name="Picture"/>
            <a:graphic>
              <a:graphicData uri="http://schemas.openxmlformats.org/drawingml/2006/picture">
                <pic:pic>
                  <pic:nvPicPr>
                    <pic:cNvPr descr="figures/ev_ipc_of_f.png" id="0" name="Picture"/>
                    <pic:cNvPicPr>
                      <a:picLocks noChangeArrowheads="1" noChangeAspect="1"/>
                    </pic:cNvPicPr>
                  </pic:nvPicPr>
                  <pic:blipFill>
                    <a:blip r:embed="rId32"/>
                    <a:stretch>
                      <a:fillRect/>
                    </a:stretch>
                  </pic:blipFill>
                  <pic:spPr bwMode="auto">
                    <a:xfrm>
                      <a:off x="0" y="0"/>
                      <a:ext cx="5334000" cy="2341926"/>
                    </a:xfrm>
                    <a:prstGeom prst="rect">
                      <a:avLst/>
                    </a:prstGeom>
                    <a:noFill/>
                    <a:ln w="9525">
                      <a:noFill/>
                      <a:headEnd/>
                      <a:tailEnd/>
                    </a:ln>
                  </pic:spPr>
                </pic:pic>
              </a:graphicData>
            </a:graphic>
          </wp:inline>
        </w:drawing>
      </w:r>
    </w:p>
    <w:p>
      <w:pPr>
        <w:pStyle w:val="ImageCaption"/>
      </w:pPr>
      <w:r>
        <w:t xml:space="preserve">Figure 4.3c — IPC(f) from CoMeT (§P0.33): a fifth of every clock gain is lost to the memory wall (elasticity 0.78–0.84 at the F1c clocks).</w:t>
      </w:r>
    </w:p>
    <w:p>
      <w:pPr>
        <w:pStyle w:val="BodyText"/>
      </w:pPr>
      <w:r>
        <w:rPr>
          <w:b/>
        </w:rPr>
        <w:t xml:space="preserve">4.4 Dark-silicon recovery (F2).</w:t>
      </w:r>
      <w:r>
        <w:t xml:space="preserve"> </w:t>
      </w:r>
      <w:r>
        <w:t xml:space="preserve">At 1.2 W/mm² per core: control 0 % of cores, unpowered layer 25 %, laser 100 % for</w:t>
      </w:r>
      <w:r>
        <w:t xml:space="preserve"> </w:t>
      </w:r>
      <w:r>
        <w:rPr>
          <w:b/>
        </w:rPr>
        <w:t xml:space="preserve">11.6 W</w:t>
      </w:r>
      <w:r>
        <w:t xml:space="preserve">; at 1.5, only the laser lights any fraction (</w:t>
      </w:r>
      <w:r>
        <w:rPr>
          <w:b/>
        </w:rPr>
        <w:t xml:space="preserve">44 W</w:t>
      </w:r>
      <w:r>
        <w:t xml:space="preserve">; a lit quarter 4.1 W). Hot cores contiguous (worst case). These are the per-block envelope plans of §P0.29 (13 Sep): the seed-shape plans first recorded (17.3 / 64.2 / 48.7 W) held but over-spent by up to 12× on a concentrated quarter, and the one row the recorded figure showed as</w:t>
      </w:r>
      <w:r>
        <w:t xml:space="preserve"> </w:t>
      </w:r>
      <w:r>
        <w:t xml:space="preserve">“</w:t>
      </w:r>
      <w:r>
        <w:t xml:space="preserve">runaway</w:t>
      </w:r>
      <w:r>
        <w:t xml:space="preserve">”</w:t>
      </w:r>
      <w:r>
        <w:t xml:space="preserve"> </w:t>
      </w:r>
      <w:r>
        <w:t xml:space="preserve">at 1.2 W/mm² / 25 % was an unfinished six-iteration descent that holds for 0.8 W with twelve (</w:t>
      </w:r>
      <w:r>
        <w:rPr>
          <w:rStyle w:val="VerbatimChar"/>
        </w:rPr>
        <w:t xml:space="preserve">dark_silicon.json</w:t>
      </w:r>
      <w:r>
        <w:t xml:space="preserve">).</w:t>
      </w:r>
    </w:p>
    <w:p>
      <w:pPr>
        <w:pStyle w:val="BodyText"/>
      </w:pPr>
      <w:r>
        <w:rPr>
          <w:b/>
        </w:rPr>
        <w:t xml:space="preserve">4.5 Burst absorption (F4).</w:t>
      </w:r>
      <w:r>
        <w:t xml:space="preserve"> </w:t>
      </w:r>
      <w:r>
        <w:t xml:space="preserve">A 10 ms burst of k× dynamic power, feed-forward modulation from the power monitor: overshoot per added watt 0.51–0.67 K/W (package), 0.51–0.54 (static array),</w:t>
      </w:r>
      <w:r>
        <w:t xml:space="preserve"> </w:t>
      </w:r>
      <w:r>
        <w:rPr>
          <w:b/>
        </w:rPr>
        <w:t xml:space="preserve">0.17–0.20 (modulated)</w:t>
      </w:r>
      <w:r>
        <w:t xml:space="preserve">; at 0.80 W/mm² a 2× burst is held under the 92 °C target (package: 118 °C, 11 ms above spec); a 3× burst 1 K under the spec; at 1.00 W/mm² with 3 K of margin the modulated array crosses the target at every k and the spec at k ≥ 2; the static array runs away inside the window at 1.00/3×. Tile flux up to 13 W/mm² for 10 ms (</w:t>
      </w:r>
      <w:r>
        <w:rPr>
          <w:rStyle w:val="VerbatimChar"/>
        </w:rPr>
        <w:t xml:space="preserve">burst_absorption.json</w:t>
      </w:r>
      <w:r>
        <w:t xml:space="preserve">).</w:t>
      </w:r>
    </w:p>
    <w:p>
      <w:pPr>
        <w:pStyle w:val="CaptionedFigure"/>
      </w:pPr>
      <w:r>
        <w:drawing>
          <wp:inline>
            <wp:extent cx="5334000" cy="2409831"/>
            <wp:effectExtent b="0" l="0" r="0" t="0"/>
            <wp:docPr descr="Figure 4.5 — Burst absorption (F4)." title="" id="1" name="Picture"/>
            <a:graphic>
              <a:graphicData uri="http://schemas.openxmlformats.org/drawingml/2006/picture">
                <pic:pic>
                  <pic:nvPicPr>
                    <pic:cNvPr descr="figures/ev_burst_absorption.png" id="0" name="Picture"/>
                    <pic:cNvPicPr>
                      <a:picLocks noChangeArrowheads="1" noChangeAspect="1"/>
                    </pic:cNvPicPr>
                  </pic:nvPicPr>
                  <pic:blipFill>
                    <a:blip r:embed="rId33"/>
                    <a:stretch>
                      <a:fillRect/>
                    </a:stretch>
                  </pic:blipFill>
                  <pic:spPr bwMode="auto">
                    <a:xfrm>
                      <a:off x="0" y="0"/>
                      <a:ext cx="5334000" cy="2409831"/>
                    </a:xfrm>
                    <a:prstGeom prst="rect">
                      <a:avLst/>
                    </a:prstGeom>
                    <a:noFill/>
                    <a:ln w="9525">
                      <a:noFill/>
                      <a:headEnd/>
                      <a:tailEnd/>
                    </a:ln>
                  </pic:spPr>
                </pic:pic>
              </a:graphicData>
            </a:graphic>
          </wp:inline>
        </w:drawing>
      </w:r>
    </w:p>
    <w:p>
      <w:pPr>
        <w:pStyle w:val="ImageCaption"/>
      </w:pPr>
      <w:r>
        <w:t xml:space="preserve">Figure 4.5 — Burst absorption (F4).</w:t>
      </w:r>
    </w:p>
    <w:p>
      <w:pPr>
        <w:pStyle w:val="BodyText"/>
      </w:pPr>
      <w:r>
        <w:rPr>
          <w:b/>
        </w:rPr>
        <w:t xml:space="preserve">4.6 The dense execution cluster (D1, X3).</w:t>
      </w:r>
      <w:r>
        <w:t xml:space="preserve"> </w:t>
      </w:r>
      <w:r>
        <w:t xml:space="preserve">Execution units at ×0.5 / ×0.25 area (2× / 4× W/mm²): the laser holds every reference rung to 202 W / 162 W at matched die watts, 0 tiles capped, cALU the peak block everywhere; plan 1.17–2.8× (×0.5) and 1.65–6.9× (×0.25) the reference’s; the passive ceiling falls (50.5 / 45.5 W vs 60.7). At the book’s 70 % utilisation and 20 µm cache halos the cluster is 1.22× denser in silicon, holds all five rungs to 243 W, and costs 1.16–1.44× a same-utilisation reference at the die-wide rungs (</w:t>
      </w:r>
      <w:r>
        <w:rPr>
          <w:rStyle w:val="VerbatimChar"/>
        </w:rPr>
        <w:t xml:space="preserve">d1_exec_density_family_result.json</w:t>
      </w:r>
      <w:r>
        <w:t xml:space="preserve">,</w:t>
      </w:r>
      <w:r>
        <w:t xml:space="preserve"> </w:t>
      </w:r>
      <w:r>
        <w:rPr>
          <w:rStyle w:val="VerbatimChar"/>
        </w:rPr>
        <w:t xml:space="preserve">x3_utilisation.json</w:t>
      </w:r>
      <w:r>
        <w:t xml:space="preserve">).</w:t>
      </w:r>
    </w:p>
    <w:p>
      <w:pPr>
        <w:pStyle w:val="CaptionedFigure"/>
      </w:pPr>
      <w:r>
        <w:drawing>
          <wp:inline>
            <wp:extent cx="5334000" cy="2998137"/>
            <wp:effectExtent b="0" l="0" r="0" t="0"/>
            <wp:docPr descr="Figure 4.6 — The dense execution cluster at matched watts (D1, seed-shape planner as recorded)." title="" id="1" name="Picture"/>
            <a:graphic>
              <a:graphicData uri="http://schemas.openxmlformats.org/drawingml/2006/picture">
                <pic:pic>
                  <pic:nvPicPr>
                    <pic:cNvPr descr="figures/ev_dense_cluster.png" id="0" name="Picture"/>
                    <pic:cNvPicPr>
                      <a:picLocks noChangeArrowheads="1" noChangeAspect="1"/>
                    </pic:cNvPicPr>
                  </pic:nvPicPr>
                  <pic:blipFill>
                    <a:blip r:embed="rId34"/>
                    <a:stretch>
                      <a:fillRect/>
                    </a:stretch>
                  </pic:blipFill>
                  <pic:spPr bwMode="auto">
                    <a:xfrm>
                      <a:off x="0" y="0"/>
                      <a:ext cx="5334000" cy="2998137"/>
                    </a:xfrm>
                    <a:prstGeom prst="rect">
                      <a:avLst/>
                    </a:prstGeom>
                    <a:noFill/>
                    <a:ln w="9525">
                      <a:noFill/>
                      <a:headEnd/>
                      <a:tailEnd/>
                    </a:ln>
                  </pic:spPr>
                </pic:pic>
              </a:graphicData>
            </a:graphic>
          </wp:inline>
        </w:drawing>
      </w:r>
    </w:p>
    <w:p>
      <w:pPr>
        <w:pStyle w:val="ImageCaption"/>
      </w:pPr>
      <w:r>
        <w:t xml:space="preserve">Figure 4.6 — The dense execution cluster at matched watts (D1, seed-shape planner as recorded).</w:t>
      </w:r>
    </w:p>
    <w:p>
      <w:pPr>
        <w:pStyle w:val="CaptionedFigure"/>
      </w:pPr>
      <w:r>
        <w:drawing>
          <wp:inline>
            <wp:extent cx="5334000" cy="2373027"/>
            <wp:effectExtent b="0" l="0" r="0" t="0"/>
            <wp:docPr descr="Figure 4.6b — D1 under the per-block planner shape (§P0.34): the 2× cluster holds every rung to 243 W, the 4× holds 202 W; the seed shape’s lost rungs were the planner’s. The ×0.25 at 243 W is envelope-only (s = 1.02)." title="" id="1" name="Picture"/>
            <a:graphic>
              <a:graphicData uri="http://schemas.openxmlformats.org/drawingml/2006/picture">
                <pic:pic>
                  <pic:nvPicPr>
                    <pic:cNvPr descr="figures/ev_dense_cluster_per_block.png" id="0" name="Picture"/>
                    <pic:cNvPicPr>
                      <a:picLocks noChangeArrowheads="1" noChangeAspect="1"/>
                    </pic:cNvPicPr>
                  </pic:nvPicPr>
                  <pic:blipFill>
                    <a:blip r:embed="rId35"/>
                    <a:stretch>
                      <a:fillRect/>
                    </a:stretch>
                  </pic:blipFill>
                  <pic:spPr bwMode="auto">
                    <a:xfrm>
                      <a:off x="0" y="0"/>
                      <a:ext cx="5334000" cy="2373027"/>
                    </a:xfrm>
                    <a:prstGeom prst="rect">
                      <a:avLst/>
                    </a:prstGeom>
                    <a:noFill/>
                    <a:ln w="9525">
                      <a:noFill/>
                      <a:headEnd/>
                      <a:tailEnd/>
                    </a:ln>
                  </pic:spPr>
                </pic:pic>
              </a:graphicData>
            </a:graphic>
          </wp:inline>
        </w:drawing>
      </w:r>
    </w:p>
    <w:p>
      <w:pPr>
        <w:pStyle w:val="ImageCaption"/>
      </w:pPr>
      <w:r>
        <w:t xml:space="preserve">Figure 4.6b — D1 under the per-block planner shape (§P0.34): the 2× cluster holds every rung to 243 W, the 4× holds 202 W; the seed shape’s lost rungs were the planner’s. The ×0.25 at 243 W is envelope-only (s = 1.02).</w:t>
      </w:r>
    </w:p>
    <w:p>
      <w:pPr>
        <w:pStyle w:val="CaptionedFigure"/>
      </w:pPr>
      <w:r>
        <w:drawing>
          <wp:inline>
            <wp:extent cx="5334000" cy="2238177"/>
            <wp:effectExtent b="0" l="0" r="0" t="0"/>
            <wp:docPr descr="Figure 4.6c — The 8× / 16× clusters at 20 µm and 5 µm burial (§P0.32): pitch, not burial, is the lever; at 100 µm pitch the tile above the cluster is driven to 253 K and the film’s own cold end binds for the first time." title="" id="1" name="Picture"/>
            <a:graphic>
              <a:graphicData uri="http://schemas.openxmlformats.org/drawingml/2006/picture">
                <pic:pic>
                  <pic:nvPicPr>
                    <pic:cNvPr descr="figures/ev_cluster_transport.png" id="0" name="Picture"/>
                    <pic:cNvPicPr>
                      <a:picLocks noChangeArrowheads="1" noChangeAspect="1"/>
                    </pic:cNvPicPr>
                  </pic:nvPicPr>
                  <pic:blipFill>
                    <a:blip r:embed="rId36"/>
                    <a:stretch>
                      <a:fillRect/>
                    </a:stretch>
                  </pic:blipFill>
                  <pic:spPr bwMode="auto">
                    <a:xfrm>
                      <a:off x="0" y="0"/>
                      <a:ext cx="5334000" cy="2238177"/>
                    </a:xfrm>
                    <a:prstGeom prst="rect">
                      <a:avLst/>
                    </a:prstGeom>
                    <a:noFill/>
                    <a:ln w="9525">
                      <a:noFill/>
                      <a:headEnd/>
                      <a:tailEnd/>
                    </a:ln>
                  </pic:spPr>
                </pic:pic>
              </a:graphicData>
            </a:graphic>
          </wp:inline>
        </w:drawing>
      </w:r>
    </w:p>
    <w:p>
      <w:pPr>
        <w:pStyle w:val="ImageCaption"/>
      </w:pPr>
      <w:r>
        <w:t xml:space="preserve">Figure 4.6c — The 8× / 16× clusters at 20 µm and 5 µm burial (§P0.32): pitch, not burial, is the lever; at 100 µm pitch the tile above the cluster is driven to 253 K and the film’s own cold end binds for the first time.</w:t>
      </w:r>
    </w:p>
    <w:p>
      <w:pPr>
        <w:pStyle w:val="BodyText"/>
      </w:pPr>
      <w:r>
        <w:rPr>
          <w:b/>
        </w:rPr>
        <w:t xml:space="preserve">4.7 The non-thermal end (X1, X2).</w:t>
      </w:r>
      <w:r>
        <w:t xml:space="preserve"> </w:t>
      </w:r>
      <w:r>
        <w:t xml:space="preserve">Re-solving the recorded fields as current densities at 0.70 V: die current 1.29 / 1.54 / 2.00 / 2.45 / 2.88× the native die’s at 1.00 / 1.20 / 1.60 / 2.00 / 2.40 W/mm²; the ×0.5 cluster’s cALU exactly 2.00× the reference’s at matched watts (×0.25: 3.9×); Black’s-law acceleration of the worst block vs native 12–50× along the ladder (n = 2, E_a = 0.9 eV stated); the cooling dividend at matched power 2.4×; on the SPICE clock rungs the cooled design’s worst block outlives the control’s 2.7–3.2× while clocking 14–26 % faster. Core-domain thermal gradient 24 K (native) → 32 / 40 / 50 / 60 K along the ladder; at a stated 150 ps insertion delay 3.2 → 4.2 / 5.3 / 6.6 / 7.9 % of the period; uniformity buys 0.74 % at matched power and the laser field is the</w:t>
      </w:r>
      <w:r>
        <w:t xml:space="preserve"> </w:t>
      </w:r>
      <w:r>
        <w:rPr>
          <w:i/>
        </w:rPr>
        <w:t xml:space="preserve">less</w:t>
      </w:r>
      <w:r>
        <w:t xml:space="preserve"> </w:t>
      </w:r>
      <w:r>
        <w:t xml:space="preserve">uniform one at matched density (</w:t>
      </w:r>
      <w:r>
        <w:rPr>
          <w:rStyle w:val="VerbatimChar"/>
        </w:rPr>
        <w:t xml:space="preserve">pdn_em_skew.json</w:t>
      </w:r>
      <w:r>
        <w:t xml:space="preserve">).</w:t>
      </w:r>
    </w:p>
    <w:p>
      <w:pPr>
        <w:pStyle w:val="CaptionedFigure"/>
      </w:pPr>
      <w:r>
        <w:drawing>
          <wp:inline>
            <wp:extent cx="5334000" cy="1827022"/>
            <wp:effectExtent b="0" l="0" r="0" t="0"/>
            <wp:docPr descr="Figure 4.7 — The current ladder, EM acceleration and thermal skew on the recorded fields (X1/X2)." title="" id="1" name="Picture"/>
            <a:graphic>
              <a:graphicData uri="http://schemas.openxmlformats.org/drawingml/2006/picture">
                <pic:pic>
                  <pic:nvPicPr>
                    <pic:cNvPr descr="figures/ev_pdn_em_skew.png" id="0" name="Picture"/>
                    <pic:cNvPicPr>
                      <a:picLocks noChangeArrowheads="1" noChangeAspect="1"/>
                    </pic:cNvPicPr>
                  </pic:nvPicPr>
                  <pic:blipFill>
                    <a:blip r:embed="rId37"/>
                    <a:stretch>
                      <a:fillRect/>
                    </a:stretch>
                  </pic:blipFill>
                  <pic:spPr bwMode="auto">
                    <a:xfrm>
                      <a:off x="0" y="0"/>
                      <a:ext cx="5334000" cy="1827022"/>
                    </a:xfrm>
                    <a:prstGeom prst="rect">
                      <a:avLst/>
                    </a:prstGeom>
                    <a:noFill/>
                    <a:ln w="9525">
                      <a:noFill/>
                      <a:headEnd/>
                      <a:tailEnd/>
                    </a:ln>
                  </pic:spPr>
                </pic:pic>
              </a:graphicData>
            </a:graphic>
          </wp:inline>
        </w:drawing>
      </w:r>
    </w:p>
    <w:p>
      <w:pPr>
        <w:pStyle w:val="ImageCaption"/>
      </w:pPr>
      <w:r>
        <w:t xml:space="preserve">Figure 4.7 — The current ladder, EM acceleration and thermal skew on the recorded fields (X1/X2).</w:t>
      </w:r>
    </w:p>
    <w:p>
      <w:pPr>
        <w:pStyle w:val="BodyText"/>
      </w:pPr>
      <w:r>
        <w:rPr>
          <w:b/>
        </w:rPr>
        <w:t xml:space="preserve">4.8 Cooling the cache.</w:t>
      </w:r>
      <w:r>
        <w:t xml:space="preserve"> </w:t>
      </w:r>
      <w:r>
        <w:t xml:space="preserve">The prize is 2.23× larger than the project’s original leakage curve implied and saturates by 280 K; on the compute die, holding the caches at 280 K costs the whole die’s heat (99 W plan on a 99 W die) and 300 K costs ≥ 71 W (77 %); cache leakage 2.7× / 3.6× down; Cr:LiSAF on the cache tiles caps 56 tiles, 18 W short (</w:t>
      </w:r>
      <w:r>
        <w:rPr>
          <w:rStyle w:val="VerbatimChar"/>
        </w:rPr>
        <w:t xml:space="preserve">cold_zone_prize_*.json</w:t>
      </w:r>
      <w:r>
        <w:t xml:space="preserve">,</w:t>
      </w:r>
      <w:r>
        <w:t xml:space="preserve"> </w:t>
      </w:r>
      <w:r>
        <w:rPr>
          <w:rStyle w:val="VerbatimChar"/>
        </w:rPr>
        <w:t xml:space="preserve">d3_cache_objective.json</w:t>
      </w:r>
      <w:r>
        <w:t xml:space="preserve">).</w:t>
      </w:r>
      <w:r>
        <w:t xml:space="preserve"> </w:t>
      </w:r>
      <w:r>
        <w:rPr>
          <w:b/>
        </w:rPr>
        <w:t xml:space="preserve">The two-die stack with the storage die on the sink side reproduces these numbers to three figures at every bond conductivity</w:t>
      </w:r>
      <w:r>
        <w:t xml:space="preserve"> </w:t>
      </w:r>
      <w:r>
        <w:t xml:space="preserve">(99.3 W; Cr:LiSAF 73.7 W with 58 tiles capped) and at an isolating bond the compute die loses its sink (</w:t>
      </w:r>
      <w:r>
        <w:rPr>
          <w:rStyle w:val="VerbatimChar"/>
        </w:rPr>
        <w:t xml:space="preserve">gen3_stack.json</w:t>
      </w:r>
      <w:r>
        <w:t xml:space="preserve">, 11 Sep).</w:t>
      </w:r>
    </w:p>
    <w:p>
      <w:pPr>
        <w:pStyle w:val="CaptionedFigure"/>
      </w:pPr>
      <w:r>
        <w:drawing>
          <wp:inline>
            <wp:extent cx="5334000" cy="2458861"/>
            <wp:effectExtent b="0" l="0" r="0" t="0"/>
            <wp:docPr descr="Figure 4.8 — The cache-leakage objective on the monolithic die (D3); the two-die sink-side stack reproduces it." title="" id="1" name="Picture"/>
            <a:graphic>
              <a:graphicData uri="http://schemas.openxmlformats.org/drawingml/2006/picture">
                <pic:pic>
                  <pic:nvPicPr>
                    <pic:cNvPr descr="figures/ev_cache_objective.png" id="0" name="Picture"/>
                    <pic:cNvPicPr>
                      <a:picLocks noChangeArrowheads="1" noChangeAspect="1"/>
                    </pic:cNvPicPr>
                  </pic:nvPicPr>
                  <pic:blipFill>
                    <a:blip r:embed="rId38"/>
                    <a:stretch>
                      <a:fillRect/>
                    </a:stretch>
                  </pic:blipFill>
                  <pic:spPr bwMode="auto">
                    <a:xfrm>
                      <a:off x="0" y="0"/>
                      <a:ext cx="5334000" cy="2458861"/>
                    </a:xfrm>
                    <a:prstGeom prst="rect">
                      <a:avLst/>
                    </a:prstGeom>
                    <a:noFill/>
                    <a:ln w="9525">
                      <a:noFill/>
                      <a:headEnd/>
                      <a:tailEnd/>
                    </a:ln>
                  </pic:spPr>
                </pic:pic>
              </a:graphicData>
            </a:graphic>
          </wp:inline>
        </w:drawing>
      </w:r>
    </w:p>
    <w:p>
      <w:pPr>
        <w:pStyle w:val="ImageCaption"/>
      </w:pPr>
      <w:r>
        <w:t xml:space="preserve">Figure 4.8 — The cache-leakage objective on the monolithic die (D3); the two-die sink-side stack reproduces it.</w:t>
      </w:r>
    </w:p>
    <w:p>
      <w:pPr>
        <w:pStyle w:val="BodyText"/>
      </w:pPr>
      <w:r>
        <w:rPr>
          <w:b/>
        </w:rPr>
        <w:t xml:space="preserve">4.9 The accelerator.</w:t>
      </w:r>
      <w:r>
        <w:t xml:space="preserve"> </w:t>
      </w:r>
      <w:r>
        <w:t xml:space="preserve">GA100-class die on a direct-die microchannel plate: the conventional stack has no steady state at 700 W on the simulated curve (assumed 25 % leakage split; uncalibrated); the unpowered GaAs layer holds 700 W; the laser holds 700 → 2600 W (s = 0.98 at the top); an eight-SM concentrated kernel at 700 W held for 32 W; max tile flux 5.3 W/mm² (</w:t>
      </w:r>
      <w:r>
        <w:rPr>
          <w:rStyle w:val="VerbatimChar"/>
        </w:rPr>
        <w:t xml:space="preserve">accel_f3_power_tol1.json</w:t>
      </w:r>
      <w:r>
        <w:t xml:space="preserve">).</w:t>
      </w:r>
    </w:p>
    <w:p>
      <w:pPr>
        <w:pStyle w:val="BodyText"/>
      </w:pPr>
      <w:r>
        <w:rPr>
          <w:b/>
        </w:rPr>
        <w:t xml:space="preserve">4.11 The cooling-system ledger (13 Sep).</w:t>
      </w:r>
      <w:r>
        <w:t xml:space="preserve"> </w:t>
      </w:r>
      <w:r>
        <w:t xml:space="preserve">The ambient the conventional air package needs, and the inlet a chilled direct-die liquid plate (0.125 K/W) needs, to hold the die at each rescue rung, measured on the coupled solve and priced with LCEstimator’s chiller and HVAC models: air needs 273 K at 1.20 W/mm², 243 K at 1.60, and has no solution above; the plate needs 293 / 273 / 263 / 243 K at 1.20 / 1.60 / 2.00 / 2.40. System COP (die watts over fan + pump + chiller + net laser): air 1.65 / 0.52 / — / —; liquid 17.3 / 3.94 / 3.02 / 0.97; photonic 2.59 / 1.90 / 1.58 / 1.29. The laser beats refrigerated air at every rung and is the only solution above 1.60; it beats the chilled plate only at 2.40, where the plate’s coolant is −30 °C (</w:t>
      </w:r>
      <w:r>
        <w:rPr>
          <w:rStyle w:val="VerbatimChar"/>
        </w:rPr>
        <w:t xml:space="preserve">cooling_system_ledger.json</w:t>
      </w:r>
      <w:r>
        <w:t xml:space="preserve">). The photonic plans are the seed-shape upper bounds; a per-block re-plan of the ladder is running.</w:t>
      </w:r>
    </w:p>
    <w:p>
      <w:pPr>
        <w:pStyle w:val="BodyText"/>
      </w:pPr>
      <w:r>
        <w:rPr>
          <w:b/>
        </w:rPr>
        <w:t xml:space="preserve">4.10 Falsification.</w:t>
      </w:r>
      <w:r>
        <w:t xml:space="preserve"> </w:t>
      </w:r>
      <w:r>
        <w:t xml:space="preserve">The 70-core die (196 mm², same core): the gen-0 ratios travel (concentration penalty 1.42–1.59, cALU the runaway block) and the absolute ceilings do not (flat 0.65 / 0.70 vs 0.85 / 0.90; the laser’s multiplier 2.2× vs 2.4×; 301 W held vs a 390–470 W prediction) (</w:t>
      </w:r>
      <w:r>
        <w:rPr>
          <w:rStyle w:val="VerbatimChar"/>
        </w:rPr>
        <w:t xml:space="preserve">d4_falsification_70core.json</w:t>
      </w:r>
      <w:r>
        <w:t xml:space="preserve">,</w:t>
      </w:r>
      <w:r>
        <w:t xml:space="preserve"> </w:t>
      </w:r>
      <w:r>
        <w:rPr>
          <w:rStyle w:val="VerbatimChar"/>
        </w:rPr>
        <w:t xml:space="preserve">iso_package_throughput.json</w:t>
      </w:r>
      <w:r>
        <w:t xml:space="preserve">).</w:t>
      </w:r>
    </w:p>
    <w:p>
      <w:r>
        <w:pict>
          <v:rect style="width:0;height:1.5pt" o:hralign="center" o:hrstd="t" o:hr="t"/>
        </w:pict>
      </w:r>
    </w:p>
    <w:p>
      <w:pPr>
        <w:pStyle w:val="Heading2"/>
      </w:pPr>
      <w:bookmarkStart w:id="39" w:name="Xf26f4f5ca7131eebeeb43e40856a5301ad41bda"/>
      <w:r>
        <w:t xml:space="preserve">5. What was argued and then falsified — the list counsel should know</w:t>
      </w:r>
      <w:bookmarkEnd w:id="39"/>
    </w:p>
    <w:p>
      <w:pPr>
        <w:pStyle w:val="FirstParagraph"/>
      </w:pPr>
      <w:r>
        <w:t xml:space="preserve">These are the statements that lived in earlier drafts, the provisional, or the device book, and that the programme has measured to be wrong. Each has a replacement.</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withdrawn</w:t>
            </w:r>
          </w:p>
        </w:tc>
        <w:tc>
          <w:tcPr>
            <w:tcBorders>
              <w:bottom w:val="single"/>
            </w:tcBorders>
            <w:vAlign w:val="bottom"/>
          </w:tcPr>
          <w:p>
            <w:pPr>
              <w:pStyle w:val="Compact"/>
              <w:jc w:val="left"/>
            </w:pPr>
            <w:r>
              <w:t xml:space="preserve">replacement</w:t>
            </w:r>
          </w:p>
        </w:tc>
      </w:tr>
      <w:tr>
        <w:tc>
          <w:p>
            <w:pPr>
              <w:pStyle w:val="Compact"/>
              <w:jc w:val="left"/>
            </w:pPr>
            <w:r>
              <w:t xml:space="preserve">A monolithic die can be zoned hot and cold</w:t>
            </w:r>
          </w:p>
        </w:tc>
        <w:tc>
          <w:p>
            <w:pPr>
              <w:pStyle w:val="Compact"/>
              <w:jc w:val="left"/>
            </w:pPr>
            <w:r>
              <w:t xml:space="preserve">40 W of removal buys 1.24 K of lateral gradient; the cold zone has to be a separate die</w:t>
            </w:r>
          </w:p>
        </w:tc>
      </w:tr>
      <w:tr>
        <w:tc>
          <w:p>
            <w:pPr>
              <w:pStyle w:val="Compact"/>
              <w:jc w:val="left"/>
            </w:pPr>
            <w:r>
              <w:t xml:space="preserve">A storage die between the compute die and the sink collects the cache prize cheaply (the ladder’s 9 Sep gen-3 design)</w:t>
            </w:r>
          </w:p>
        </w:tc>
        <w:tc>
          <w:p>
            <w:pPr>
              <w:pStyle w:val="Compact"/>
              <w:jc w:val="left"/>
            </w:pPr>
            <w:r>
              <w:t xml:space="preserve">the storage die must be off the compute die’s heat path (two sinks, or 2.5D beside it)</w:t>
            </w:r>
          </w:p>
        </w:tc>
      </w:tr>
      <w:tr>
        <w:tc>
          <w:p>
            <w:pPr>
              <w:pStyle w:val="Compact"/>
              <w:jc w:val="left"/>
            </w:pPr>
            <w:r>
              <w:t xml:space="preserve">Uniformity is a clock lever (flattening the die buys 1–3 % of clock)</w:t>
            </w:r>
          </w:p>
        </w:tc>
        <w:tc>
          <w:p>
            <w:pPr>
              <w:pStyle w:val="Compact"/>
              <w:jc w:val="left"/>
            </w:pPr>
            <w:r>
              <w:t xml:space="preserve">skew grows with the rung; the laser field is the less uniform one at matched density</w:t>
            </w:r>
          </w:p>
        </w:tc>
      </w:tr>
      <w:tr>
        <w:tc>
          <w:p>
            <w:pPr>
              <w:pStyle w:val="Compact"/>
              <w:jc w:val="left"/>
            </w:pPr>
            <w:r>
              <w:t xml:space="preserve">The accelerator is where the extractor’s rungs matter</w:t>
            </w:r>
          </w:p>
        </w:tc>
        <w:tc>
          <w:p>
            <w:pPr>
              <w:pStyle w:val="Compact"/>
              <w:jc w:val="left"/>
            </w:pPr>
            <w:r>
              <w:t xml:space="preserve">the device is 150× under-used on the accelerator too</w:t>
            </w:r>
          </w:p>
        </w:tc>
      </w:tr>
      <w:tr>
        <w:tc>
          <w:p>
            <w:pPr>
              <w:pStyle w:val="Compact"/>
              <w:jc w:val="left"/>
            </w:pPr>
            <w:r>
              <w:t xml:space="preserve">“</w:t>
            </w:r>
            <w:r>
              <w:t xml:space="preserve">N× the compute</w:t>
            </w:r>
            <w:r>
              <w:t xml:space="preserve">”</w:t>
            </w:r>
            <w:r>
              <w:t xml:space="preserve"> </w:t>
            </w:r>
            <w:r>
              <w:t xml:space="preserve">from a fixed-core-count ladder</w:t>
            </w:r>
          </w:p>
        </w:tc>
        <w:tc>
          <w:p>
            <w:pPr>
              <w:pStyle w:val="Compact"/>
              <w:jc w:val="left"/>
            </w:pPr>
            <w:r>
              <w:t xml:space="preserve">the watts multiplier (3.8× on the 34-core package) and the core-count multiplier (2.06× on the 70-core) are the quotable ones</w:t>
            </w:r>
          </w:p>
        </w:tc>
      </w:tr>
      <w:tr>
        <w:tc>
          <w:p>
            <w:pPr>
              <w:pStyle w:val="Compact"/>
              <w:jc w:val="left"/>
            </w:pPr>
            <w:r>
              <w:t xml:space="preserve">The cold-zone prize is 30 % of die power</w:t>
            </w:r>
          </w:p>
        </w:tc>
        <w:tc>
          <w:p>
            <w:pPr>
              <w:pStyle w:val="Compact"/>
              <w:jc w:val="left"/>
            </w:pPr>
            <w:r>
              <w:t xml:space="preserve">~6–14 % (accounting-dependent); quote the 2.23× ratio and the 280 K knee</w:t>
            </w:r>
          </w:p>
        </w:tc>
      </w:tr>
      <w:tr>
        <w:tc>
          <w:p>
            <w:pPr>
              <w:pStyle w:val="Compact"/>
              <w:jc w:val="left"/>
            </w:pPr>
            <w:r>
              <w:t xml:space="preserve">Yb:YLF is the cold-zone material; η_ASF ≈ 0.02 is the state of the art</w:t>
            </w:r>
          </w:p>
        </w:tc>
        <w:tc>
          <w:p>
            <w:pPr>
              <w:pStyle w:val="Compact"/>
              <w:jc w:val="left"/>
            </w:pPr>
            <w:r>
              <w:t xml:space="preserve">Cr:LiSAF (storage) and the SMILES-R640 dye (hot); films &gt; 1000 W/mm², η_ASF 0.10–0.60</w:t>
            </w:r>
          </w:p>
        </w:tc>
      </w:tr>
      <w:tr>
        <w:tc>
          <w:p>
            <w:pPr>
              <w:pStyle w:val="Compact"/>
              <w:jc w:val="left"/>
            </w:pPr>
            <w:r>
              <w:t xml:space="preserve">Recovery crosses to export at 408 K</w:t>
            </w:r>
          </w:p>
        </w:tc>
        <w:tc>
          <w:p>
            <w:pPr>
              <w:pStyle w:val="Compact"/>
              <w:jc w:val="left"/>
            </w:pPr>
            <w:r>
              <w:t xml:space="preserve">614 K (90 % laser preset); 408 K is self-powering, pump covered, LPC not counted</w:t>
            </w:r>
          </w:p>
        </w:tc>
      </w:tr>
      <w:tr>
        <w:tc>
          <w:p>
            <w:pPr>
              <w:pStyle w:val="Compact"/>
              <w:jc w:val="left"/>
            </w:pPr>
            <w:r>
              <w:t xml:space="preserve">The part never reaches its 100 °C spec, it runs away first</w:t>
            </w:r>
          </w:p>
        </w:tc>
        <w:tc>
          <w:p>
            <w:pPr>
              <w:pStyle w:val="Compact"/>
              <w:jc w:val="left"/>
            </w:pPr>
            <w:r>
              <w:t xml:space="preserve">it reaches spec at every cooling point tested; the clocks stand</w:t>
            </w:r>
          </w:p>
        </w:tc>
      </w:tr>
      <w:tr>
        <w:tc>
          <w:p>
            <w:pPr>
              <w:pStyle w:val="Compact"/>
              <w:jc w:val="left"/>
            </w:pPr>
            <w:r>
              <w:t xml:space="preserve">The flat-die ceiling is 1.0–1.2 W/mm²</w:t>
            </w:r>
          </w:p>
        </w:tc>
        <w:tc>
          <w:p>
            <w:pPr>
              <w:pStyle w:val="Compact"/>
              <w:jc w:val="left"/>
            </w:pPr>
            <w:r>
              <w:t xml:space="preserve">0.85–0.90</w:t>
            </w:r>
          </w:p>
        </w:tc>
      </w:tr>
      <w:tr>
        <w:tc>
          <w:p>
            <w:pPr>
              <w:pStyle w:val="Compact"/>
              <w:jc w:val="left"/>
            </w:pPr>
            <w:r>
              <w:t xml:space="preserve">The V_t lever costs 22 K per 50 mV</w:t>
            </w:r>
          </w:p>
        </w:tc>
        <w:tc>
          <w:p>
            <w:pPr>
              <w:pStyle w:val="Compact"/>
              <w:jc w:val="left"/>
            </w:pPr>
            <w:r>
              <w:t xml:space="preserve">45–60 K per 50 mV on the simulated device; only 25 mV is inside the demonstrated lift</w:t>
            </w:r>
          </w:p>
        </w:tc>
      </w:tr>
      <w:tr>
        <w:tc>
          <w:p>
            <w:pPr>
              <w:pStyle w:val="Compact"/>
              <w:jc w:val="left"/>
            </w:pPr>
            <w:r>
              <w:t xml:space="preserve">The array’s own area makes every ceiling optimistic</w:t>
            </w:r>
          </w:p>
        </w:tc>
        <w:tc>
          <w:p>
            <w:pPr>
              <w:pStyle w:val="Compact"/>
              <w:jc w:val="left"/>
            </w:pPr>
            <w:r>
              <w:t xml:space="preserve">the tiles sit above the silicon; the coverage charge is zero at the shipped pitch</w:t>
            </w:r>
          </w:p>
        </w:tc>
      </w:tr>
      <w:tr>
        <w:tc>
          <w:p>
            <w:pPr>
              <w:pStyle w:val="Compact"/>
              <w:jc w:val="left"/>
            </w:pPr>
            <w:r>
              <w:t xml:space="preserve">The same 16× units as fingers hold 202 W (FIG. 9c as drawn on the morning of 19 Sep)</w:t>
            </w:r>
          </w:p>
        </w:tc>
        <w:tc>
          <w:p>
            <w:pPr>
              <w:pStyle w:val="Compact"/>
              <w:jc w:val="left"/>
            </w:pPr>
            <w:r>
              <w:t xml:space="preserve">202 W is the slicing tiler’s strips; the arrangement DESIGNED as fingers holds 243 W at 16× and at 32× (§P0.38)</w:t>
            </w:r>
          </w:p>
        </w:tc>
      </w:tr>
      <w:tr>
        <w:tc>
          <w:p>
            <w:pPr>
              <w:pStyle w:val="Compact"/>
              <w:jc w:val="left"/>
            </w:pPr>
            <w:r>
              <w:t xml:space="preserve">A separate storage die makes Cr:LiSAF viable — it lifts only the die’s own 1.35 W (9 Sep)</w:t>
            </w:r>
          </w:p>
        </w:tc>
        <w:tc>
          <w:p>
            <w:pPr>
              <w:pStyle w:val="Compact"/>
              <w:jc w:val="left"/>
            </w:pPr>
            <w:r>
              <w:t xml:space="preserve">measured on the far-face stack: the storage die’s own heat at 280 K is ~5 W plus what the interface and its own sink conduct in; the dye holds it for 10.9 W, Cr:LiSAF is 1.7 W short and lands at 290 K (§P0.37)</w:t>
            </w:r>
          </w:p>
        </w:tc>
      </w:tr>
      <w:tr>
        <w:tc>
          <w:p>
            <w:pPr>
              <w:pStyle w:val="Compact"/>
              <w:jc w:val="left"/>
            </w:pPr>
            <w:r>
              <w:t xml:space="preserve">Cooling the caches collects a leakage prize worth ~6–14 % of die power — as an unconditional figure</w:t>
            </w:r>
          </w:p>
        </w:tc>
        <w:tc>
          <w:p>
            <w:pPr>
              <w:pStyle w:val="Compact"/>
              <w:jc w:val="left"/>
            </w:pPr>
            <w:r>
              <w:t xml:space="preserve">conditional on the cache’s cell class: that figure is for HP-class bitcells; with low-standby-power cells it is 306× smaller (§P0.40). Where between — and where a cold memory zone pays — is being mapped (§P0.42); the ratios and the thermal geometry stand either way</w:t>
            </w:r>
          </w:p>
        </w:tc>
      </w:tr>
      <w:tr>
        <w:tc>
          <w:p>
            <w:pPr>
              <w:pStyle w:val="Compact"/>
              <w:jc w:val="left"/>
            </w:pPr>
            <w:r>
              <w:t xml:space="preserve">A storage die behind an isolating interface needs no sink of its own (the light carries the heat)</w:t>
            </w:r>
          </w:p>
        </w:tc>
        <w:tc>
          <w:p>
            <w:pPr>
              <w:pStyle w:val="Compact"/>
              <w:jc w:val="left"/>
            </w:pPr>
            <w:r>
              <w:t xml:space="preserve">with the far face adiabatic, or behind 10–30 K/W, the unpowered storage die has no steady state; it needs a deliberately poor sink (§P0.37)</w:t>
            </w:r>
          </w:p>
        </w:tc>
      </w:tr>
    </w:tbl>
    <w:p>
      <w:r>
        <w:pict>
          <v:rect style="width:0;height:1.5pt" o:hralign="center" o:hrstd="t" o:hr="t"/>
        </w:pict>
      </w:r>
    </w:p>
    <w:p>
      <w:pPr>
        <w:pStyle w:val="Heading2"/>
      </w:pPr>
      <w:bookmarkStart w:id="40" w:name="X788bd1eeac55d14d57406c416fe7e23dbc40ce8"/>
      <w:r>
        <w:t xml:space="preserve">6. Recommended framing for the specific claims</w:t>
      </w:r>
      <w:bookmarkEnd w:id="40"/>
    </w:p>
    <w:p>
      <w:pPr>
        <w:pStyle w:val="FirstParagraph"/>
      </w:pPr>
      <w:r>
        <w:t xml:space="preserve">The recommendation is to build the independent claims on what is measured, to carry the measured constants as dependent limitations (they are non-obvious and they are ours), and to keep the long-horizon embodiments (hot compute zone, net export, ISA-level changes) in the specification as embodiments without numeric limitations. Counsel will judge claim form; the substance we can defend is below.</w:t>
      </w:r>
    </w:p>
    <w:p>
      <w:pPr>
        <w:pStyle w:val="BodyText"/>
      </w:pPr>
      <w:r>
        <w:rPr>
          <w:b/>
        </w:rPr>
        <w:t xml:space="preserve">6.1 The driven, planned array (apparatus).</w:t>
      </w:r>
      <w:r>
        <w:t xml:space="preserve"> </w:t>
      </w:r>
      <w:r>
        <w:t xml:space="preserve">A processor die; a photonic cooling layer of anti-Stokes tiles disposed above the die’s back surface (not co-located with the transistors — the removal must cross the burial depth, which is what makes the burial depth a design variable); a pump source and per-tile optical gating; and a controller that (a) obtains a per-block temperature field from the die at its operating point, (b) derives per-block removal from the die’s own thermal sensitivities, (c) projects the block plan onto the tiles by footprint, and (d) selects the minimum plan that keeps the die on its stable (cool) branch under an energy-conservation cap. Dependent: the plan is bisected between the largest failing and smallest holding plan; the cap is the die’s converged dissipation; a per-tile capability cap from the extractor’s own cooling curve; tile pitch ≥ 200 µm with the die’s silicon thickness setting the plateau; areal coverage ≤ 30 % of the layer; the array’s footprint imposing no logic-area charge.</w:t>
      </w:r>
      <w:r>
        <w:t xml:space="preserve"> </w:t>
      </w:r>
      <w:r>
        <w:rPr>
          <w:b/>
        </w:rPr>
        <w:t xml:space="preserve">Basis:</w:t>
      </w:r>
      <w:r>
        <w:t xml:space="preserve"> </w:t>
      </w:r>
      <w:r>
        <w:t xml:space="preserve">4.1, 4.2 (MEASURED).</w:t>
      </w:r>
    </w:p>
    <w:p>
      <w:pPr>
        <w:pStyle w:val="BodyText"/>
      </w:pPr>
      <w:r>
        <w:rPr>
          <w:b/>
        </w:rPr>
        <w:t xml:space="preserve">6.2 The distinguishing fact.</w:t>
      </w:r>
      <w:r>
        <w:t xml:space="preserve"> </w:t>
      </w:r>
      <w:r>
        <w:t xml:space="preserve">Wherever a claim recites the cooling effect, recite it as the</w:t>
      </w:r>
      <w:r>
        <w:t xml:space="preserve"> </w:t>
      </w:r>
      <w:r>
        <w:rPr>
          <w:i/>
        </w:rPr>
        <w:t xml:space="preserve">difference between the driven array and an undriven layer of the same material</w:t>
      </w:r>
      <w:r>
        <w:t xml:space="preserve">: the undriven layer fails at 1.20 W/mm² where the driven one holds to 2.40. That difference is what separates the invention from</w:t>
      </w:r>
      <w:r>
        <w:t xml:space="preserve"> </w:t>
      </w:r>
      <w:r>
        <w:t xml:space="preserve">“</w:t>
      </w:r>
      <w:r>
        <w:t xml:space="preserve">a thin conductive film on the die</w:t>
      </w:r>
      <w:r>
        <w:t xml:space="preserve">”</w:t>
      </w:r>
      <w:r>
        <w:t xml:space="preserve">, and it is the fact measured 35 of 35 times.</w:t>
      </w:r>
      <w:r>
        <w:t xml:space="preserve"> </w:t>
      </w:r>
      <w:r>
        <w:rPr>
          <w:b/>
        </w:rPr>
        <w:t xml:space="preserve">Basis:</w:t>
      </w:r>
      <w:r>
        <w:t xml:space="preserve"> </w:t>
      </w:r>
      <w:r>
        <w:t xml:space="preserve">4.1.</w:t>
      </w:r>
    </w:p>
    <w:p>
      <w:pPr>
        <w:pStyle w:val="BodyText"/>
      </w:pPr>
      <w:r>
        <w:rPr>
          <w:b/>
        </w:rPr>
        <w:t xml:space="preserve">6.3 Clock control to the device ceiling (method).</w:t>
      </w:r>
      <w:r>
        <w:t xml:space="preserve"> </w:t>
      </w:r>
      <w:r>
        <w:t xml:space="preserve">Operating the die under a thermal limit, bisecting the clock with dynamic power ∝ V²f on the device’s V/F curve and leakage on the coupled solve, driving the array to hold the limit, and stopping at the transistor’s ceiling rather than at the package’s thermal ceiling — where, as of 13 Sep (§P0.31), that ceiling is</w:t>
      </w:r>
      <w:r>
        <w:t xml:space="preserve"> </w:t>
      </w:r>
      <w:r>
        <w:rPr>
          <w:b/>
        </w:rPr>
        <w:t xml:space="preserve">the supply at which the worst block’s lifetime equals the qualification point’s</w:t>
      </w:r>
      <w:r>
        <w:t xml:space="preserve"> </w:t>
      </w:r>
      <w:r>
        <w:t xml:space="preserve">(electromigration and dielectric breakdown, Arrhenius in the</w:t>
      </w:r>
      <w:r>
        <w:t xml:space="preserve"> </w:t>
      </w:r>
      <w:r>
        <w:rPr>
          <w:i/>
        </w:rPr>
        <w:t xml:space="preserve">cooled</w:t>
      </w:r>
      <w:r>
        <w:t xml:space="preserve"> </w:t>
      </w:r>
      <w:r>
        <w:t xml:space="preserve">temperature) on a period that includes wire, thermal skew and setup/jitter: the array’s target temperature is then the co-design knob (each 30 K it holds below the corner buys ~6 % of supply), and the claim should recite the budget, not a fixed overdrive. Dependent: the operating point stated in W/mm²; the array removing 38–235 W to hold it.</w:t>
      </w:r>
      <w:r>
        <w:t xml:space="preserve"> </w:t>
      </w:r>
      <w:r>
        <w:rPr>
          <w:b/>
        </w:rPr>
        <w:t xml:space="preserve">Basis:</w:t>
      </w:r>
      <w:r>
        <w:t xml:space="preserve"> </w:t>
      </w:r>
      <w:r>
        <w:t xml:space="preserve">4.3.</w:t>
      </w:r>
      <w:r>
        <w:t xml:space="preserve"> </w:t>
      </w:r>
      <w:r>
        <w:rPr>
          <w:b/>
        </w:rPr>
        <w:t xml:space="preserve">Do not</w:t>
      </w:r>
      <w:r>
        <w:t xml:space="preserve"> </w:t>
      </w:r>
      <w:r>
        <w:t xml:space="preserve">recite a GHz above the ceiling.</w:t>
      </w:r>
    </w:p>
    <w:p>
      <w:pPr>
        <w:pStyle w:val="BodyText"/>
      </w:pPr>
      <w:r>
        <w:rPr>
          <w:b/>
        </w:rPr>
        <w:t xml:space="preserve">6.4 Dark-silicon recovery (method).</w:t>
      </w:r>
      <w:r>
        <w:t xml:space="preserve"> </w:t>
      </w:r>
      <w:r>
        <w:t xml:space="preserve">At a per-core power density the package cannot hold for any contiguous fraction of cores, routing cooling to the active cores so that all cores are lit; the laser cost scaling with the lit fraction and the hot-spot geometry.</w:t>
      </w:r>
      <w:r>
        <w:t xml:space="preserve"> </w:t>
      </w:r>
      <w:r>
        <w:rPr>
          <w:b/>
        </w:rPr>
        <w:t xml:space="preserve">Basis:</w:t>
      </w:r>
      <w:r>
        <w:t xml:space="preserve"> </w:t>
      </w:r>
      <w:r>
        <w:t xml:space="preserve">4.4.</w:t>
      </w:r>
    </w:p>
    <w:p>
      <w:pPr>
        <w:pStyle w:val="BodyText"/>
      </w:pPr>
      <w:r>
        <w:rPr>
          <w:b/>
        </w:rPr>
        <w:t xml:space="preserve">6.5 Feed-forward burst absorption (method).</w:t>
      </w:r>
      <w:r>
        <w:t xml:space="preserve"> </w:t>
      </w:r>
      <w:r>
        <w:t xml:space="preserve">A power monitor reporting per-block dynamic power; during a transient increase, the controller commanding the tiles above the affected blocks to remove the</w:t>
      </w:r>
      <w:r>
        <w:t xml:space="preserve"> </w:t>
      </w:r>
      <w:r>
        <w:rPr>
          <w:i/>
        </w:rPr>
        <w:t xml:space="preserve">added</w:t>
      </w:r>
      <w:r>
        <w:t xml:space="preserve"> </w:t>
      </w:r>
      <w:r>
        <w:t xml:space="preserve">watts at their source for the duration of the transient; the array’s response (microseconds) being faster than the package’s thermal mass (milliseconds), so the peak-block overshoot per added watt falls 2.5–3.3×. Dependent: modulation from a predictor of the transient (instruction queue, scheduler, branch predictor) as an</w:t>
      </w:r>
      <w:r>
        <w:t xml:space="preserve"> </w:t>
      </w:r>
      <w:r>
        <w:rPr>
          <w:i/>
        </w:rPr>
        <w:t xml:space="preserve">anticipatory</w:t>
      </w:r>
      <w:r>
        <w:t xml:space="preserve"> </w:t>
      </w:r>
      <w:r>
        <w:t xml:space="preserve">form — disclosed, not measured; the transient tile flux exceeding the steady demand (13 vs 5 W/mm²).</w:t>
      </w:r>
      <w:r>
        <w:t xml:space="preserve"> </w:t>
      </w:r>
      <w:r>
        <w:rPr>
          <w:b/>
        </w:rPr>
        <w:t xml:space="preserve">Basis:</w:t>
      </w:r>
      <w:r>
        <w:t xml:space="preserve"> </w:t>
      </w:r>
      <w:r>
        <w:t xml:space="preserve">4.5 (feed-forward) — the branch-predictor form of the provisional’s claims 2/8/14 should become a dependent embodiment of this claim.</w:t>
      </w:r>
    </w:p>
    <w:p>
      <w:pPr>
        <w:pStyle w:val="BodyText"/>
      </w:pPr>
      <w:r>
        <w:rPr>
          <w:b/>
        </w:rPr>
        <w:t xml:space="preserve">6.6a Dependent limitations measured 19 Sep (§P0.35–§P0.36).</w:t>
      </w:r>
      <w:r>
        <w:t xml:space="preserve"> </w:t>
      </w:r>
      <w:r>
        <w:t xml:space="preserve">(i) The execution cluster arranged as a single compact block under a group of tiles where its density is up to about eight times the conventional one (cheaper by 6–15 % and one rung higher than a strip arrangement); (ii) beyond that density, the execution units shaped as high-aspect fingers, each with lower-power scheduler / register-file logic on both sides, at a spacing the tile pitch resolves (a compact 16× cluster has no steady state above 121 W; the slicing tiler’s strips hold 202 W;</w:t>
      </w:r>
      <w:r>
        <w:t xml:space="preserve"> </w:t>
      </w:r>
      <w:r>
        <w:rPr>
          <w:b/>
        </w:rPr>
        <w:t xml:space="preserve">the arrangement DESIGNED to this limitation — MEASURED 19 Sep, §P0.38 — holds every rung to 243 W at 16× and at 32× for a quarter to a half less cooling plan</w:t>
      </w:r>
      <w:r>
        <w:t xml:space="preserve">, FIG. 3C, FIG. 9d); (iii) tiles over the execution cluster of an extractor material whose cooling capability does not fall as the tile cools, the remainder of the array being of a different material (the 8× cluster then holds the 2.40-equivalent rung); (iv) a tile pitch of about 100 µm over such a cluster (200 µm cannot resolve it; 50 µm drives a dye tile into its cold end).</w:t>
      </w:r>
      <w:r>
        <w:t xml:space="preserve"> </w:t>
      </w:r>
      <w:r>
        <w:rPr>
          <w:b/>
        </w:rPr>
        <w:t xml:space="preserve">Basis:</w:t>
      </w:r>
      <w:r>
        <w:t xml:space="preserve"> </w:t>
      </w:r>
      <w:r>
        <w:t xml:space="preserve">4.6 (Figures 4.6c, FIG. 3B, FIG. 3C, FIG. 5, FIG. 9); the material in (iii) is a ceiling design point and should be recited functionally, not by name.</w:t>
      </w:r>
    </w:p>
    <w:p>
      <w:pPr>
        <w:pStyle w:val="BodyText"/>
      </w:pPr>
      <w:r>
        <w:rPr>
          <w:rStyle w:val="VerbatimChar"/>
          <w:b/>
        </w:rPr>
        <w:t xml:space="preserve">[!]</w:t>
      </w:r>
      <w:r>
        <w:rPr>
          <w:b/>
        </w:rPr>
        <w:t xml:space="preserve"> </w:t>
      </w:r>
      <w:r>
        <w:rPr>
          <w:b/>
        </w:rPr>
        <w:t xml:space="preserve">Read first (19–20 Sep, §P0.40, §P0.42): the SIZE of the cold-memory benefit depends on the memory’s cell technology, and we have measured it at only two points.</w:t>
      </w:r>
      <w:r>
        <w:t xml:space="preserve"> </w:t>
      </w:r>
      <w:r>
        <w:t xml:space="preserve">Our power model was given the cache bitcells as high-performance logic transistors; on that input the caches carry 54 % of on-die leakage and the cold zone sheds 2.8 W of it (6.6b). Re-run with low-standby-power cells, the same caches leak 306× less and the saving is negligible. Those are the two ends of a range, on one die, one capacity and one operating point —</w:t>
      </w:r>
      <w:r>
        <w:t xml:space="preserve"> </w:t>
      </w:r>
      <w:r>
        <w:rPr>
          <w:b/>
        </w:rPr>
        <w:t xml:space="preserve">not a finding that a cold memory zone has no benefit.</w:t>
      </w:r>
      <w:r>
        <w:t xml:space="preserve"> </w:t>
      </w:r>
      <w:r>
        <w:t xml:space="preserve">The benefit is larger wherever the memory is built from fast / low-threshold cells (L1, TLBs, latency-critical L2; a deliberately low-V_t cache is a</w:t>
      </w:r>
      <w:r>
        <w:t xml:space="preserve"> </w:t>
      </w:r>
      <w:r>
        <w:rPr>
          <w:i/>
        </w:rPr>
        <w:t xml:space="preserve">faster</w:t>
      </w:r>
      <w:r>
        <w:t xml:space="preserve"> </w:t>
      </w:r>
      <w:r>
        <w:t xml:space="preserve">cache whose leakage the cold zone pays for), wherever its capacity is large against the die (stacked-cache and L4 / eDRAM tiers), wherever the uncooled alternative is hot (beside a 2 W/mm² compute die it sits near 90 °C, where leakage doubles every ~20 K), and for DRAM-class memory, whose retention and refresh improve steeply on cooling. The experiments that map that region are designed and the first are running (Section 8).</w:t>
      </w:r>
      <w:r>
        <w:t xml:space="preserve"> </w:t>
      </w:r>
      <w:r>
        <w:rPr>
          <w:b/>
        </w:rPr>
        <w:t xml:space="preserve">Drafting guidance:</w:t>
      </w:r>
      <w:r>
        <w:t xml:space="preserve"> </w:t>
      </w:r>
      <w:r>
        <w:t xml:space="preserve">the thermal findings of 6.6b are claimable as STRUCTURE independent of any of this; a leakage or energy benefit should be recited conditionally — as a function of the memory’s leakage density and temperature — and not as a fixed percentage of die power; and the dependent limitations are best drafted around a MEMORY die generally (cache, eDRAM or DRAM), with proximity to the cores as a second, independent motive — MEASURED 20 Sep (§P0.43, a matched simulation sweep, one workload class): against memory beside the cores on an interposer, off-package memory loses 31 % of throughput at 4 GHz and 54 % at 16 GHz, and keeps only 0.51 / 0.21 of a clock gain where in-package memory keeps 0.78 / 0.47; memory stacked under the cores adds a further 1–6 % only. In-package memory and the cooling are complements; the placement beside the compute die (FIG. 6c) collects nearly all of the proximity benefit and is the thermally easy one.</w:t>
      </w:r>
      <w:r>
        <w:t xml:space="preserve"> </w:t>
      </w:r>
      <w:r>
        <w:rPr>
          <w:b/>
        </w:rPr>
        <w:t xml:space="preserve">Added 27 Oct (§P0.45):</w:t>
      </w:r>
      <w:r>
        <w:t xml:space="preserve"> </w:t>
      </w:r>
      <w:r>
        <w:t xml:space="preserve">the first stack-side mapping ran — on the recorded cells the cold cache zone is still 4–6 W in the red at 1.00 W/mm² (reproduced); on a leaky cache (fast cells, no long-channel devices, four times the L3) the cache die has NO steady state at all without its cold zone, and whether the cold zone then pays could not be read because the planner cannot yet size two dies independently (a stated tool limit, being fixed, not a finding). The PERFORMANCE side is closed for this workload class: a two-times-faster or 1.5-times-slower L2 / L3 moves throughput by under 0.5 % on these kernels — recite the cold zone’s benefit as a leakage / viability benefit, not as a throughput one, unless a cache-bound workload is measured.</w:t>
      </w:r>
    </w:p>
    <w:p>
      <w:pPr>
        <w:pStyle w:val="BodyText"/>
      </w:pPr>
      <w:r>
        <w:rPr>
          <w:b/>
        </w:rPr>
        <w:t xml:space="preserve">6.6b The storage die off the heat path — measured 19 Sep (§P0.37), thermal side.</w:t>
      </w:r>
      <w:r>
        <w:t xml:space="preserve"> </w:t>
      </w:r>
      <w:r>
        <w:t xml:space="preserve">(i) A storage die carrying the cache blocks on the compute die’s far face, behind an interface whose through-conductance is at most about 1 W/K over the die, with its own cooling array on its own far face: MEASURED to hold the caches at 280 K for 10.9–13.7 W with the compute die’s array undisturbed, against 99.4 W when the storage die sits between the compute die and the sink; (ii) a heat path on the storage die’s far face that is deliberately POOR — enough that the storage die has a steady state with its array unpowered (without it, MEASURED, it has none), and no better (3 / 1 / 0.3 K/W cost 13.7 / 20.1 / 39.8 W, because the die is held below ambient); (iii) the cost of the cold zone as a linear function of the interface’s conductance (26 W at 0.5 W/mK, 75 W at 5 W/mK over 100 µm).</w:t>
      </w:r>
      <w:r>
        <w:t xml:space="preserve"> </w:t>
      </w:r>
      <w:r>
        <w:rPr>
          <w:b/>
        </w:rPr>
        <w:t xml:space="preserve">What this does not support:</w:t>
      </w:r>
      <w:r>
        <w:t xml:space="preserve"> </w:t>
      </w:r>
      <w:r>
        <w:t xml:space="preserve">Cr:LiSAF by name as the storage-side material (a ceiling design point, and still 1.7 W short — recite the storage array functionally); any statement that the cold cache zone saves net energy (the laser draws 7.0 W to save 2.78 W of leakage at the best isolation measured); the interface’s construction (signal vias through an isolating gap are not modelled).</w:t>
      </w:r>
      <w:r>
        <w:t xml:space="preserve"> </w:t>
      </w:r>
      <w:r>
        <w:rPr>
          <w:b/>
        </w:rPr>
        <w:t xml:space="preserve">Basis:</w:t>
      </w:r>
      <w:r>
        <w:t xml:space="preserve"> </w:t>
      </w:r>
      <w:r>
        <w:t xml:space="preserve">FIG. 6b, FIG. 7,</w:t>
      </w:r>
      <w:r>
        <w:t xml:space="preserve"> </w:t>
      </w:r>
      <w:r>
        <w:rPr>
          <w:rStyle w:val="VerbatimChar"/>
        </w:rPr>
        <w:t xml:space="preserve">results/two_sink.json</w:t>
      </w:r>
      <w:r>
        <w:t xml:space="preserve">.</w:t>
      </w:r>
    </w:p>
    <w:p>
      <w:pPr>
        <w:pStyle w:val="BodyText"/>
      </w:pPr>
      <w:r>
        <w:rPr>
          <w:b/>
        </w:rPr>
        <w:t xml:space="preserve">6.6c The memory die as a DRAM / HBM die — all three placements measured 27 Oct (§P0.44), FIG. 10.</w:t>
      </w:r>
      <w:r>
        <w:t xml:space="preserve"> </w:t>
      </w:r>
      <w:r>
        <w:t xml:space="preserve">The re-aimed gen 3 (6.6b’s lead note) was built and measured: an HBM-class die (eight dies of 3 W, lumped; refresh feedback in the loop; held under the JEDEC 85 °C breakpoint, planned at 80 °C) beside the 2 W/mm² compute die on an interposer (FIG. 6c’s form), under it on its far face behind a via-field interface (FIG. 6b’s form), and on top of it between the compute die and the array (the conventional memory-on-logic form). Three findings, MEASURED. (i)</w:t>
      </w:r>
      <w:r>
        <w:t xml:space="preserve"> </w:t>
      </w:r>
      <w:r>
        <w:rPr>
          <w:b/>
        </w:rPr>
        <w:t xml:space="preserve">The memory’s own temperature never binds</w:t>
      </w:r>
      <w:r>
        <w:t xml:space="preserve">: in every stacked placement the banks sit at the die’s area-average temperature, 27–70 °C, 25–45 K below the compute die’s hot spot, and the 85 °C line is never approached in a held row. (ii)</w:t>
      </w:r>
      <w:r>
        <w:t xml:space="preserve"> </w:t>
      </w:r>
      <w:r>
        <w:rPr>
          <w:b/>
        </w:rPr>
        <w:t xml:space="preserve">What the array pays is the heat path the memory adds or removes</w:t>
      </w:r>
      <w:r>
        <w:t xml:space="preserve">: beside the compute die, nothing (−2.5 % of the reference plan; the gap from 0.5 to 2 mm moves the banks 2.6 K); under it on the far face, −6 W when the memory’s own far-face path is good (1 K/W — the far-face sink then takes compute heat too), +6 W at 3 K/W and +16 W at 10 K/W (the memory’s heat then enters the compute die and leaves through the array); on top of it, 0 W for one thin hybrid-bonded die, +7.5 W on microbumps, +40 W for an eight-high stack on hybrid bonds and NO steady state for eight-high on microbumps — the stack’s series resistance in the compute die’s only path to its cooler, not the memory’s temperature, is the cost. (iii)</w:t>
      </w:r>
      <w:r>
        <w:t xml:space="preserve"> </w:t>
      </w:r>
      <w:r>
        <w:rPr>
          <w:b/>
        </w:rPr>
        <w:t xml:space="preserve">The interface’s role reverses against the cache die of 6.6b</w:t>
      </w:r>
      <w:r>
        <w:t xml:space="preserve">: a DRAM die wants the via field’s conductance (≈ 0.85 W/mK over 100 µm for an HBM-class via count) to let its own heat through; behind an aerogel-class isolation with a poor far-face path it has no steady state (a refresh runaway — the first recorded).</w:t>
      </w:r>
      <w:r>
        <w:t xml:space="preserve"> </w:t>
      </w:r>
      <w:r>
        <w:rPr>
          <w:b/>
        </w:rPr>
        <w:t xml:space="preserve">Drafting guidance:</w:t>
      </w:r>
      <w:r>
        <w:t xml:space="preserve"> </w:t>
      </w:r>
      <w:r>
        <w:t xml:space="preserve">the dependent limitations may now recite (a) the memory die beside the compute die on an interposer as the primary in-package form (thermally free, and collecting nearly all of the proximity benefit, 6.6b’s lead note); (b) the memory die on the compute die’s far face behind a via-field interface, with its own heat path on its own far face, as the stacked form whose cooling cost is of the order of its throughput gain; (c) the conventional memory-on-logic stack as the form the cooling array must be sized for (one thin die free, a tall stack dear), with the interface’s conductance and the far-face path’s resistance as the stated variables.</w:t>
      </w:r>
      <w:r>
        <w:t xml:space="preserve"> </w:t>
      </w:r>
      <w:r>
        <w:rPr>
          <w:b/>
        </w:rPr>
        <w:t xml:space="preserve">What this does not support:</w:t>
      </w:r>
      <w:r>
        <w:t xml:space="preserve"> </w:t>
      </w:r>
      <w:r>
        <w:t xml:space="preserve">any memory POWER figure (the DRAM model is a JEDEC convention, not a datasheet); any statement about the memory’s temperature under its own cooling array (its tiles were never engaged — the storage-side array’s watts in the far-face rows are the planner’s envelope share, not a thermal need); an eight-high stack resolved die by die (lumped here).</w:t>
      </w:r>
      <w:r>
        <w:t xml:space="preserve"> </w:t>
      </w:r>
      <w:r>
        <w:rPr>
          <w:b/>
        </w:rPr>
        <w:t xml:space="preserve">Basis:</w:t>
      </w:r>
      <w:r>
        <w:t xml:space="preserve"> </w:t>
      </w:r>
      <w:r>
        <w:t xml:space="preserve">FIG. 10,</w:t>
      </w:r>
      <w:r>
        <w:t xml:space="preserve"> </w:t>
      </w:r>
      <w:r>
        <w:rPr>
          <w:rStyle w:val="VerbatimChar"/>
        </w:rPr>
        <w:t xml:space="preserve">results/memory_die.json</w:t>
      </w:r>
      <w:r>
        <w:t xml:space="preserve">, register §1.2.</w:t>
      </w:r>
    </w:p>
    <w:p>
      <w:pPr>
        <w:pStyle w:val="BodyText"/>
      </w:pPr>
      <w:r>
        <w:rPr>
          <w:b/>
        </w:rPr>
        <w:t xml:space="preserve">6.6 The co-designed die: dense cluster, re-sized rails, EM-budgeted target (architecture).</w:t>
      </w:r>
      <w:r>
        <w:t xml:space="preserve"> </w:t>
      </w:r>
      <w:r>
        <w:t xml:space="preserve">A die whose execution cluster (complex ALU, integer ALU, FPU, vector unit) is placed at 1.2–4× the power density a conventional package can hold, under the array’s tiles, with the caches unchanged; the power-distribution stripes over the cluster sized in proportion to the cluster’s current-density ratio (2× / 4× at the McPAT areas, 1.22× at 70 % utilisation); the array’s target temperature chosen on an electromigration budget rather than the thermal specification; per-core clock domains where the array’s uniformity does not suffice.</w:t>
      </w:r>
      <w:r>
        <w:t xml:space="preserve"> </w:t>
      </w:r>
      <w:r>
        <w:rPr>
          <w:b/>
        </w:rPr>
        <w:t xml:space="preserve">Basis:</w:t>
      </w:r>
      <w:r>
        <w:t xml:space="preserve"> </w:t>
      </w:r>
      <w:r>
        <w:t xml:space="preserve">4.6 and 4.7 (MEASURED as current density and gradient; the EM lifetime ARGUED with n and E_a stated).</w:t>
      </w:r>
      <w:r>
        <w:t xml:space="preserve"> </w:t>
      </w:r>
      <w:r>
        <w:rPr>
          <w:b/>
        </w:rPr>
        <w:t xml:space="preserve">The rail limitation is MEASURED since 19 Sep (§P0.39)</w:t>
      </w:r>
      <w:r>
        <w:t xml:space="preserve"> </w:t>
      </w:r>
      <w:r>
        <w:t xml:space="preserve">with a static rail model in the clock search (V_eff = V_dd − IR; rails sized for the native die’s worst execution block to a stated 5 % budget): on native rails the 8× / 16× clusters clock 19 % / 31 % low (−17 % / −27 % of instructions per second with IPC(f))</w:t>
      </w:r>
      <w:r>
        <w:t xml:space="preserve"> </w:t>
      </w:r>
      <w:r>
        <w:rPr>
          <w:i/>
        </w:rPr>
        <w:t xml:space="preserve">with the cooling array idle</w:t>
      </w:r>
      <w:r>
        <w:t xml:space="preserve"> </w:t>
      </w:r>
      <w:r>
        <w:t xml:space="preserve">— the rails bind before the cooler is asked for a watt — and stripes widened by the cluster’s current-density ratio give the clock back (+1.3 % / +0.2 %; at half that ratio −2 %). Recite the proportion, not a number: the budget, the native current density and the absence of L·di/dt are stated assumptions, and whether that cross-section fits over the unit is a metal-stack question the record does not hold. This is the first architectural change made because of a measurement and re-measured, and it is the claim that most cleanly reads on</w:t>
      </w:r>
      <w:r>
        <w:t xml:space="preserve"> </w:t>
      </w:r>
      <w:r>
        <w:t xml:space="preserve">“</w:t>
      </w:r>
      <w:r>
        <w:t xml:space="preserve">architectures enabled by</w:t>
      </w:r>
      <w:r>
        <w:t xml:space="preserve">”</w:t>
      </w:r>
      <w:r>
        <w:t xml:space="preserve"> </w:t>
      </w:r>
      <w:r>
        <w:t xml:space="preserve">cooling.</w:t>
      </w:r>
    </w:p>
    <w:p>
      <w:pPr>
        <w:pStyle w:val="BodyText"/>
      </w:pPr>
      <w:r>
        <w:rPr>
          <w:b/>
        </w:rPr>
        <w:t xml:space="preserve">6.7 The storage die off the heat path (architecture, ARGUED).</w:t>
      </w:r>
      <w:r>
        <w:t xml:space="preserve"> </w:t>
      </w:r>
      <w:r>
        <w:t xml:space="preserve">A compute die with its dye tile array and sink on one face; a storage die carrying the level-2/level-3 caches on the other side of an interface that conducts only laterally (2.5D beside the compute die, or on the compute die’s far face with its own sink), the storage die held near 280 K by chromium-doped extractor tiles; the cache leakage falling 2.7–3.6×.</w:t>
      </w:r>
      <w:r>
        <w:t xml:space="preserve"> </w:t>
      </w:r>
      <w:r>
        <w:rPr>
          <w:b/>
        </w:rPr>
        <w:t xml:space="preserve">Explicitly excluded</w:t>
      </w:r>
      <w:r>
        <w:t xml:space="preserve"> </w:t>
      </w:r>
      <w:r>
        <w:t xml:space="preserve">in the specification: the storage die between the compute die and the sink (measured: costs the whole die at every bond conductivity).</w:t>
      </w:r>
      <w:r>
        <w:t xml:space="preserve"> </w:t>
      </w:r>
      <w:r>
        <w:rPr>
          <w:b/>
        </w:rPr>
        <w:t xml:space="preserve">Basis:</w:t>
      </w:r>
      <w:r>
        <w:t xml:space="preserve"> </w:t>
      </w:r>
      <w:r>
        <w:t xml:space="preserve">4.8 (constraint MEASURED; the design ARGUED). We recommend this be claimed as an embodiment with the falsified geometry disclaimed, since the disclaimer is itself evidence of non-obviousness.</w:t>
      </w:r>
    </w:p>
    <w:p>
      <w:pPr>
        <w:pStyle w:val="BodyText"/>
      </w:pPr>
      <w:r>
        <w:rPr>
          <w:b/>
        </w:rPr>
        <w:t xml:space="preserve">6.8 Low-V_th cells under the array (dependent, ARGUED).</w:t>
      </w:r>
      <w:r>
        <w:t xml:space="preserve"> </w:t>
      </w:r>
      <w:r>
        <w:t xml:space="preserve">Execution-cluster cells at a threshold 25 mV below the rest of the die, the array holding the cluster 22–30 K cooler to pay the leakage; +7.6 % clock on the cluster.</w:t>
      </w:r>
      <w:r>
        <w:t xml:space="preserve"> </w:t>
      </w:r>
      <w:r>
        <w:rPr>
          <w:b/>
        </w:rPr>
        <w:t xml:space="preserve">Basis:</w:t>
      </w:r>
      <w:r>
        <w:t xml:space="preserve"> </w:t>
      </w:r>
      <w:r>
        <w:t xml:space="preserve">SPICE-derived, not run end to end.</w:t>
      </w:r>
    </w:p>
    <w:p>
      <w:pPr>
        <w:pStyle w:val="BodyText"/>
      </w:pPr>
      <w:r>
        <w:rPr>
          <w:b/>
        </w:rPr>
        <w:t xml:space="preserve">6.9 Zone materials (dependent).</w:t>
      </w:r>
      <w:r>
        <w:t xml:space="preserve"> </w:t>
      </w:r>
      <w:r>
        <w:t xml:space="preserve">Storage-zone tiles of Cr:LiSAF; hot-zone tiles of a SiN-encapsulated molecular dye or GaAs; no rare-earth crystal; the storage-zone tile capability stated as a ceiling at unit external quantum efficiency.</w:t>
      </w:r>
      <w:r>
        <w:t xml:space="preserve"> </w:t>
      </w:r>
      <w:r>
        <w:rPr>
          <w:b/>
        </w:rPr>
        <w:t xml:space="preserve">Basis:</w:t>
      </w:r>
      <w:r>
        <w:t xml:space="preserve"> </w:t>
      </w:r>
      <w:r>
        <w:t xml:space="preserve">register §1.5; v100 §8.</w:t>
      </w:r>
    </w:p>
    <w:p>
      <w:pPr>
        <w:pStyle w:val="BodyText"/>
      </w:pPr>
      <w:r>
        <w:rPr>
          <w:b/>
        </w:rPr>
        <w:t xml:space="preserve">6.10 The accelerator embodiment (dependent).</w:t>
      </w:r>
      <w:r>
        <w:t xml:space="preserve"> </w:t>
      </w:r>
      <w:r>
        <w:t xml:space="preserve">A GPU-class die on a direct-die microchannel plate with the array between; a concentrated kernel held for a plan an order of magnitude below the kernel’s added power; the array’s plan shaped per block by the block’s own dissipation.</w:t>
      </w:r>
      <w:r>
        <w:t xml:space="preserve"> </w:t>
      </w:r>
      <w:r>
        <w:rPr>
          <w:b/>
        </w:rPr>
        <w:t xml:space="preserve">Basis:</w:t>
      </w:r>
      <w:r>
        <w:t xml:space="preserve"> </w:t>
      </w:r>
      <w:r>
        <w:t xml:space="preserve">4.9 (with the assumed-leakage caveat stated).</w:t>
      </w:r>
    </w:p>
    <w:p>
      <w:pPr>
        <w:pStyle w:val="BodyText"/>
      </w:pPr>
      <w:r>
        <w:rPr>
          <w:b/>
        </w:rPr>
        <w:t xml:space="preserve">What we recommend not claiming with numbers:</w:t>
      </w:r>
      <w:r>
        <w:t xml:space="preserve"> </w:t>
      </w:r>
      <w:r>
        <w:t xml:space="preserve">&gt; 1000 W/mm² functional units; &gt; 10 GHz; &gt; 10¹¹ transistors/cm²; 160 °C reductions; &gt; 10× COP; &gt; 20–30 % recovery or net generation; &gt; 1024-bit vectors and 16× FLOP; &gt; 3× pipeline throughput; sub-10 °C variance on analog units.</w:t>
      </w:r>
    </w:p>
    <w:p>
      <w:r>
        <w:pict>
          <v:rect style="width:0;height:1.5pt" o:hralign="center" o:hrstd="t" o:hr="t"/>
        </w:pict>
      </w:r>
    </w:p>
    <w:p>
      <w:pPr>
        <w:pStyle w:val="Heading2"/>
      </w:pPr>
      <w:bookmarkStart w:id="41" w:name="Xfcff58f8ef26e2bbfdcc6ea756e0cc0aa6ebcfa"/>
      <w:r>
        <w:t xml:space="preserve">7. How core designs evolve with targeted laser cooling — the figures</w:t>
      </w:r>
      <w:bookmarkEnd w:id="41"/>
    </w:p>
    <w:p>
      <w:pPr>
        <w:pStyle w:val="FirstParagraph"/>
      </w:pPr>
      <w:r>
        <w:rPr>
          <w:rStyle w:val="VerbatimChar"/>
        </w:rPr>
        <w:t xml:space="preserve">figures/fig_integration_levels.png</w:t>
      </w:r>
      <w:r>
        <w:t xml:space="preserve"> </w:t>
      </w:r>
      <w:r>
        <w:t xml:space="preserve">(cross-sections by degree of integration),</w:t>
      </w:r>
      <w:r>
        <w:t xml:space="preserve"> </w:t>
      </w:r>
      <w:r>
        <w:rPr>
          <w:rStyle w:val="VerbatimChar"/>
        </w:rPr>
        <w:t xml:space="preserve">figures/fig_core_evolution.png</w:t>
      </w:r>
      <w:r>
        <w:t xml:space="preserve"> </w:t>
      </w:r>
      <w:r>
        <w:t xml:space="preserve">(one core’s floorplan per ladder generation),</w:t>
      </w:r>
      <w:r>
        <w:t xml:space="preserve"> </w:t>
      </w:r>
      <w:r>
        <w:rPr>
          <w:rStyle w:val="VerbatimChar"/>
        </w:rPr>
        <w:t xml:space="preserve">figures/fig_scales.png</w:t>
      </w:r>
      <w:r>
        <w:t xml:space="preserve"> </w:t>
      </w:r>
      <w:r>
        <w:t xml:space="preserve">(the scale ladder and what is measured at each),</w:t>
      </w:r>
      <w:r>
        <w:t xml:space="preserve"> </w:t>
      </w:r>
      <w:r>
        <w:rPr>
          <w:rStyle w:val="VerbatimChar"/>
        </w:rPr>
        <w:t xml:space="preserve">figures/fig_evidence_matrix.png</w:t>
      </w:r>
      <w:r>
        <w:t xml:space="preserve"> </w:t>
      </w:r>
      <w:r>
        <w:t xml:space="preserve">(the status of every claim-relevant statement),</w:t>
      </w:r>
      <w:r>
        <w:t xml:space="preserve"> </w:t>
      </w:r>
      <w:r>
        <w:rPr>
          <w:b/>
        </w:rPr>
        <w:t xml:space="preserve">the patent-style drawings</w:t>
      </w:r>
      <w:r>
        <w:rPr>
          <w:b/>
        </w:rPr>
        <w:t xml:space="preserve"> </w:t>
      </w:r>
      <w:r>
        <w:rPr>
          <w:rStyle w:val="VerbatimChar"/>
          <w:b/>
        </w:rPr>
        <w:t xml:space="preserve">figures/pat_fig1–8.png</w:t>
      </w:r>
      <w:r>
        <w:rPr>
          <w:b/>
        </w:rPr>
        <w:t xml:space="preserve"> </w:t>
      </w:r>
      <w:r>
        <w:rPr>
          <w:b/>
        </w:rPr>
        <w:t xml:space="preserve">(Section 7A, 13 Sep)</w:t>
      </w:r>
      <w:r>
        <w:t xml:space="preserve">, and the evidence figures</w:t>
      </w:r>
      <w:r>
        <w:t xml:space="preserve"> </w:t>
      </w:r>
      <w:r>
        <w:rPr>
          <w:rStyle w:val="VerbatimChar"/>
        </w:rPr>
        <w:t xml:space="preserve">figures/ev_*.png</w:t>
      </w:r>
      <w:r>
        <w:t xml:space="preserve"> </w:t>
      </w:r>
      <w:r>
        <w:t xml:space="preserve">(the rescue ladder and s, the current ladder and EM acceleration, the dense cluster, the cache objective, the burst, the clock, dark silicon, the density ceilings, the cold-zone prize, the accelerator).</w:t>
      </w:r>
    </w:p>
    <w:p>
      <w:pPr>
        <w:pStyle w:val="CaptionedFigure"/>
      </w:pPr>
      <w:r>
        <w:drawing>
          <wp:inline>
            <wp:extent cx="5334000" cy="1983571"/>
            <wp:effectExtent b="0" l="0" r="0" t="0"/>
            <wp:docPr descr="Figure 7.0 — Degrees of integration and what is measured at each." title="" id="1" name="Picture"/>
            <a:graphic>
              <a:graphicData uri="http://schemas.openxmlformats.org/drawingml/2006/picture">
                <pic:pic>
                  <pic:nvPicPr>
                    <pic:cNvPr descr="figures/fig_scales.png" id="0" name="Picture"/>
                    <pic:cNvPicPr>
                      <a:picLocks noChangeArrowheads="1" noChangeAspect="1"/>
                    </pic:cNvPicPr>
                  </pic:nvPicPr>
                  <pic:blipFill>
                    <a:blip r:embed="rId42"/>
                    <a:stretch>
                      <a:fillRect/>
                    </a:stretch>
                  </pic:blipFill>
                  <pic:spPr bwMode="auto">
                    <a:xfrm>
                      <a:off x="0" y="0"/>
                      <a:ext cx="5334000" cy="1983571"/>
                    </a:xfrm>
                    <a:prstGeom prst="rect">
                      <a:avLst/>
                    </a:prstGeom>
                    <a:noFill/>
                    <a:ln w="9525">
                      <a:noFill/>
                      <a:headEnd/>
                      <a:tailEnd/>
                    </a:ln>
                  </pic:spPr>
                </pic:pic>
              </a:graphicData>
            </a:graphic>
          </wp:inline>
        </w:drawing>
      </w:r>
    </w:p>
    <w:p>
      <w:pPr>
        <w:pStyle w:val="ImageCaption"/>
      </w:pPr>
      <w:r>
        <w:t xml:space="preserve">Figure 7.0 — Degrees of integration and what is measured at each.</w:t>
      </w:r>
    </w:p>
    <w:p>
      <w:pPr>
        <w:pStyle w:val="BodyText"/>
      </w:pPr>
      <w:r>
        <w:rPr>
          <w:b/>
        </w:rPr>
        <w:t xml:space="preserve">Level 0 — the conventional direct-die part (gen 0).</w:t>
      </w:r>
      <w:r>
        <w:t xml:space="preserve"> </w:t>
      </w:r>
      <w:r>
        <w:t xml:space="preserve">The die a package can hold. Binding constraint: leakage runaway through the hottest complex-ALU (29 W/mm² on a die averaging under 1). Concentrating power costs 1.4× of ceiling, so a conventional floorplan spreads the execution units out; the traced die at its native 0.78 W/mm² has no steady state on this package under the corrected inputs. MEASURED.</w:t>
      </w:r>
    </w:p>
    <w:p>
      <w:pPr>
        <w:pStyle w:val="BodyText"/>
      </w:pPr>
      <w:r>
        <w:rPr>
          <w:b/>
        </w:rPr>
        <w:t xml:space="preserve">Level 1 — a decoupled photonic cold plate mounted on the direct-die part.</w:t>
      </w:r>
      <w:r>
        <w:t xml:space="preserve"> </w:t>
      </w:r>
      <w:r>
        <w:t xml:space="preserve">Nothing in the die changes; 500 µm tiles at 200 µm burial replace the 30 µm of grease under the same cold plate and fan. The laser buys the instability first (the hybrid cap beats 1/(1−s)), then the rungs to 3.50 W/mm² (per-block planner; conservation ends it there); clock to the device’s ceiling; every core lit at 1.2 W/mm² per core for 12 W; a 2× burst held under target. The film is two orders of magnitude under-used, so the array’s geometry is loose: 200 µm pitch and 26 % coverage suffice. This is the retrofit level of v100 §10.11 and it is where the measured record is deepest. MEASURED.</w:t>
      </w:r>
    </w:p>
    <w:p>
      <w:pPr>
        <w:pStyle w:val="CaptionedFigure"/>
      </w:pPr>
      <w:r>
        <w:drawing>
          <wp:inline>
            <wp:extent cx="5334000" cy="4138324"/>
            <wp:effectExtent b="0" l="0" r="0" t="0"/>
            <wp:docPr descr="Figure 7.1 — The die at four degrees of integration (cross-sections), each panel tagged MEASURED / ARGUED." title="" id="1" name="Picture"/>
            <a:graphic>
              <a:graphicData uri="http://schemas.openxmlformats.org/drawingml/2006/picture">
                <pic:pic>
                  <pic:nvPicPr>
                    <pic:cNvPr descr="figures/fig_integration_levels.png" id="0" name="Picture"/>
                    <pic:cNvPicPr>
                      <a:picLocks noChangeArrowheads="1" noChangeAspect="1"/>
                    </pic:cNvPicPr>
                  </pic:nvPicPr>
                  <pic:blipFill>
                    <a:blip r:embed="rId43"/>
                    <a:stretch>
                      <a:fillRect/>
                    </a:stretch>
                  </pic:blipFill>
                  <pic:spPr bwMode="auto">
                    <a:xfrm>
                      <a:off x="0" y="0"/>
                      <a:ext cx="5334000" cy="4138324"/>
                    </a:xfrm>
                    <a:prstGeom prst="rect">
                      <a:avLst/>
                    </a:prstGeom>
                    <a:noFill/>
                    <a:ln w="9525">
                      <a:noFill/>
                      <a:headEnd/>
                      <a:tailEnd/>
                    </a:ln>
                  </pic:spPr>
                </pic:pic>
              </a:graphicData>
            </a:graphic>
          </wp:inline>
        </w:drawing>
      </w:r>
    </w:p>
    <w:p>
      <w:pPr>
        <w:pStyle w:val="ImageCaption"/>
      </w:pPr>
      <w:r>
        <w:t xml:space="preserve">Figure 7.1 — The die at four degrees of integration (cross-sections), each panel tagged MEASURED / ARGUED.</w:t>
      </w:r>
    </w:p>
    <w:p>
      <w:pPr>
        <w:pStyle w:val="BodyText"/>
      </w:pPr>
      <w:r>
        <w:rPr>
          <w:b/>
        </w:rPr>
        <w:t xml:space="preserve">Level 2 — the package-integrated array on a thinned die, and the die redesigned around it.</w:t>
      </w:r>
      <w:r>
        <w:t xml:space="preserve"> </w:t>
      </w:r>
      <w:r>
        <w:t xml:space="preserve">Tiles bonded at packaging at 100–200 µm pitch over 50–100 µm of silicon. The integration ladder of Section 8 measured what thinning buys in cooling cost: little (±10 %), with a shallow optimum near 100 µm; the value of integration is structural, not thermal. The die changes for the first time: the execution cluster densifies under the tiles (2× / 4× at fixed power; 1.22× at realistic utilisation), the rails over it are re-sized in proportion, the target temperature is chosen on an electromigration budget, and the clock tree is split into per-core domains because the gradient grows with every rung. The binding constraint has moved off temperature: it is the PDN, then skew. MEASURED (D1, X1, X2, X3) as densities, currents and gradients; ARGUED as limits.</w:t>
      </w:r>
    </w:p>
    <w:p>
      <w:pPr>
        <w:pStyle w:val="BodyText"/>
      </w:pPr>
      <w:r>
        <w:rPr>
          <w:b/>
        </w:rPr>
        <w:t xml:space="preserve">Level 3 — the stack.</w:t>
      </w:r>
      <w:r>
        <w:t xml:space="preserve"> </w:t>
      </w:r>
      <w:r>
        <w:t xml:space="preserve">The cache prize (2.23×, 280 K knee) can be collected only where the storage die is off the compute die’s heat path: a two-sided stack (dye array and sink on the compute face, Cr:LiSAF tiles and a second sink on the storage face) or a 2.5D placement beside the compute die. The sink-side form is measured and falsified. ARGUED, with the next experiment named.</w:t>
      </w:r>
    </w:p>
    <w:p>
      <w:pPr>
        <w:pStyle w:val="BodyText"/>
      </w:pPr>
      <w:r>
        <w:rPr>
          <w:b/>
        </w:rPr>
        <w:t xml:space="preserve">Beyond level 3 (not claimed with numbers).</w:t>
      </w:r>
      <w:r>
        <w:t xml:space="preserve"> </w:t>
      </w:r>
      <w:r>
        <w:t xml:space="preserve">A hot compute zone (500–600 K) needs refractory metallization and wide-bandgap devices before it needs cooling; the recovery loop’s export crossing is 614 K on the device model. These are the book’s Tier-III embodiments and belong in the specification as the long-horizon direction, without percentages.</w:t>
      </w:r>
    </w:p>
    <w:p>
      <w:pPr>
        <w:pStyle w:val="BodyText"/>
      </w:pPr>
      <w:r>
        <w:rPr>
          <w:b/>
        </w:rPr>
        <w:t xml:space="preserve">The evolution ladder, one change per measured constraint.</w:t>
      </w:r>
      <w:r>
        <w:t xml:space="preserve"> </w:t>
      </w:r>
      <w:r>
        <w:t xml:space="preserve">Gen 0 (runaway through the cALU) → gen 1 (densify the cluster; what binds next is the rails) → gen 2 (low-V_th cells under the array; what binds next is the laser budget) → gen 3 (the storage die off the heat path; what binds next is interface isolation and two-sided packaging, which are not thermal). The ladder ends where its constraint stops being thermal, and on the reference die that is at gen 1’s rails.</w:t>
      </w:r>
    </w:p>
    <w:p>
      <w:pPr>
        <w:pStyle w:val="CaptionedFigure"/>
      </w:pPr>
      <w:r>
        <w:drawing>
          <wp:inline>
            <wp:extent cx="5334000" cy="5135182"/>
            <wp:effectExtent b="0" l="0" r="0" t="0"/>
            <wp:docPr descr="Figure 7.2 — The evolution ladder: one core’s floorplan per generation." title="" id="1" name="Picture"/>
            <a:graphic>
              <a:graphicData uri="http://schemas.openxmlformats.org/drawingml/2006/picture">
                <pic:pic>
                  <pic:nvPicPr>
                    <pic:cNvPr descr="figures/fig_core_evolution.png" id="0" name="Picture"/>
                    <pic:cNvPicPr>
                      <a:picLocks noChangeArrowheads="1" noChangeAspect="1"/>
                    </pic:cNvPicPr>
                  </pic:nvPicPr>
                  <pic:blipFill>
                    <a:blip r:embed="rId44"/>
                    <a:stretch>
                      <a:fillRect/>
                    </a:stretch>
                  </pic:blipFill>
                  <pic:spPr bwMode="auto">
                    <a:xfrm>
                      <a:off x="0" y="0"/>
                      <a:ext cx="5334000" cy="5135182"/>
                    </a:xfrm>
                    <a:prstGeom prst="rect">
                      <a:avLst/>
                    </a:prstGeom>
                    <a:noFill/>
                    <a:ln w="9525">
                      <a:noFill/>
                      <a:headEnd/>
                      <a:tailEnd/>
                    </a:ln>
                  </pic:spPr>
                </pic:pic>
              </a:graphicData>
            </a:graphic>
          </wp:inline>
        </w:drawing>
      </w:r>
    </w:p>
    <w:p>
      <w:pPr>
        <w:pStyle w:val="ImageCaption"/>
      </w:pPr>
      <w:r>
        <w:t xml:space="preserve">Figure 7.2 — The evolution ladder: one core’s floorplan per generation.</w:t>
      </w:r>
    </w:p>
    <w:p>
      <w:r>
        <w:pict>
          <v:rect style="width:0;height:1.5pt" o:hralign="center" o:hrstd="t" o:hr="t"/>
        </w:pict>
      </w:r>
    </w:p>
    <w:p>
      <w:pPr>
        <w:pStyle w:val="Heading2"/>
      </w:pPr>
      <w:bookmarkStart w:id="45" w:name="Xd3b3ff0af6c19a5c6241adc6eec1601d2e35e6c"/>
      <w:r>
        <w:t xml:space="preserve">7A. Patent-style drawings: the core evolved in response to localized, high-power-density cooling (13 Sep)</w:t>
      </w:r>
      <w:bookmarkEnd w:id="45"/>
    </w:p>
    <w:p>
      <w:pPr>
        <w:pStyle w:val="FirstParagraph"/>
      </w:pPr>
      <w:r>
        <w:t xml:space="preserve">Eleven monochrome sheets (FIG. 1–9, 3B, 3C; eight on 13 Sep) with reference numerals, drawn by</w:t>
      </w:r>
      <w:r>
        <w:t xml:space="preserve"> </w:t>
      </w:r>
      <w:r>
        <w:rPr>
          <w:rStyle w:val="VerbatimChar"/>
        </w:rPr>
        <w:t xml:space="preserve">make_patent_figures.py</w:t>
      </w:r>
      <w:r>
        <w:t xml:space="preserve"> </w:t>
      </w:r>
      <w:r>
        <w:t xml:space="preserve">from the real floorplans (</w:t>
      </w:r>
      <w:r>
        <w:rPr>
          <w:rStyle w:val="VerbatimChar"/>
        </w:rPr>
        <w:t xml:space="preserve">examples/floorplans/outputs/…</w:t>
      </w:r>
      <w:r>
        <w:t xml:space="preserve">, one core of the 34-core die at 1×, 1/2, 1/4, 1/8 and 1/16 execution-unit area), the recorded fields and the evidence JSONs where a number appears. Every caption states MEASURED or ARGUED per the register; nothing in a drawing is claimed beyond its caption. The argument they carry, in order: the conventional core is bounded by a leakage runaway through its hottest execution unit and spreads that unit out to survive (FIG. 1); a driven, planner-commanded tile array above the back surface removes the runaway first and then the rungs to conservation (FIG. 2); the execution cluster can then be made 2–16× denser at unchanged power, with the tile pitch matched to the unit (FIG. 3); the rails over it are widened in proportion to its current density and the array’s target is chosen on a lifetime budget, which is the co-design knob for supply and clock (FIG. 4); at fine pitch and the top rung the film’s own cold end binds, which fixes the tile pitch and the hot-zone material as design variables (FIG. 5); the caches are collected on a storage die off the compute die’s heat path (FIG. 6); the composed core (FIG. 7, now drawn with the compact 8× cluster); the ladder of constraint → cooling → response → next constraint that generated it (FIG. 8); and the shape rule the 19 Sep runs measured — compact the cluster to about 8×, give it perimeter beyond that (FIG. 3B, FIG. 9).</w:t>
      </w:r>
    </w:p>
    <w:p>
      <w:pPr>
        <w:pStyle w:val="CaptionedFigure"/>
      </w:pPr>
      <w:r>
        <w:drawing>
          <wp:inline>
            <wp:extent cx="5334000" cy="2804003"/>
            <wp:effectExtent b="0" l="0" r="0" t="0"/>
            <wp:docPr descr="FIG. 1 — The conventional core 100 as traced: the execution cluster 110 (112–118) spread among the caches 120–126, the front end 130 and the control slab 140; section A–A′, the direct-die package 200–210. MEASURED (§P0.17; the native field)." title="" id="1" name="Picture"/>
            <a:graphic>
              <a:graphicData uri="http://schemas.openxmlformats.org/drawingml/2006/picture">
                <pic:pic>
                  <pic:nvPicPr>
                    <pic:cNvPr descr="figures/pat_fig1.png" id="0" name="Picture"/>
                    <pic:cNvPicPr>
                      <a:picLocks noChangeArrowheads="1" noChangeAspect="1"/>
                    </pic:cNvPicPr>
                  </pic:nvPicPr>
                  <pic:blipFill>
                    <a:blip r:embed="rId46"/>
                    <a:stretch>
                      <a:fillRect/>
                    </a:stretch>
                  </pic:blipFill>
                  <pic:spPr bwMode="auto">
                    <a:xfrm>
                      <a:off x="0" y="0"/>
                      <a:ext cx="5334000" cy="2804003"/>
                    </a:xfrm>
                    <a:prstGeom prst="rect">
                      <a:avLst/>
                    </a:prstGeom>
                    <a:noFill/>
                    <a:ln w="9525">
                      <a:noFill/>
                      <a:headEnd/>
                      <a:tailEnd/>
                    </a:ln>
                  </pic:spPr>
                </pic:pic>
              </a:graphicData>
            </a:graphic>
          </wp:inline>
        </w:drawing>
      </w:r>
    </w:p>
    <w:p>
      <w:pPr>
        <w:pStyle w:val="ImageCaption"/>
      </w:pPr>
      <w:r>
        <w:t xml:space="preserve">FIG. 1 — The conventional core 100 as traced: the execution cluster 110 (112–118) spread among the caches 120–126, the front end 130 and the control slab 140; section A–A′, the direct-die package 200–210. MEASURED (§P0.17; the native field).</w:t>
      </w:r>
    </w:p>
    <w:p>
      <w:pPr>
        <w:pStyle w:val="CaptionedFigure"/>
      </w:pPr>
      <w:r>
        <w:drawing>
          <wp:inline>
            <wp:extent cx="5334000" cy="3317140"/>
            <wp:effectExtent b="0" l="0" r="0" t="0"/>
            <wp:docPr descr="FIG. 2 — The apparatus: the photonic cooling layer 300 of tiles 302, pump routing 304, collector 306, and the controller 310 (sense 312 → plan 314 → drive 316). MEASURED: the rescue ladder, 1.20 → 3.50 W/mm² under the per-block planner." title="" id="1" name="Picture"/>
            <a:graphic>
              <a:graphicData uri="http://schemas.openxmlformats.org/drawingml/2006/picture">
                <pic:pic>
                  <pic:nvPicPr>
                    <pic:cNvPr descr="figures/pat_fig2.png" id="0" name="Picture"/>
                    <pic:cNvPicPr>
                      <a:picLocks noChangeArrowheads="1" noChangeAspect="1"/>
                    </pic:cNvPicPr>
                  </pic:nvPicPr>
                  <pic:blipFill>
                    <a:blip r:embed="rId47"/>
                    <a:stretch>
                      <a:fillRect/>
                    </a:stretch>
                  </pic:blipFill>
                  <pic:spPr bwMode="auto">
                    <a:xfrm>
                      <a:off x="0" y="0"/>
                      <a:ext cx="5334000" cy="3317140"/>
                    </a:xfrm>
                    <a:prstGeom prst="rect">
                      <a:avLst/>
                    </a:prstGeom>
                    <a:noFill/>
                    <a:ln w="9525">
                      <a:noFill/>
                      <a:headEnd/>
                      <a:tailEnd/>
                    </a:ln>
                  </pic:spPr>
                </pic:pic>
              </a:graphicData>
            </a:graphic>
          </wp:inline>
        </w:drawing>
      </w:r>
    </w:p>
    <w:p>
      <w:pPr>
        <w:pStyle w:val="ImageCaption"/>
      </w:pPr>
      <w:r>
        <w:t xml:space="preserve">FIG. 2 — The apparatus: the photonic cooling layer 300 of tiles 302, pump routing 304, collector 306, and the controller 310 (sense 312 → plan 314 → drive 316). MEASURED: the rescue ladder, 1.20 → 3.50 W/mm² under the per-block planner.</w:t>
      </w:r>
    </w:p>
    <w:p>
      <w:pPr>
        <w:pStyle w:val="CaptionedFigure"/>
      </w:pPr>
      <w:r>
        <w:drawing>
          <wp:inline>
            <wp:extent cx="5334000" cy="3358873"/>
            <wp:effectExtent b="0" l="0" r="0" t="0"/>
            <wp:docPr descr="FIG. 3 — Gen 1: the execution cluster densified 2× / 4× / 8× / 16× at unchanged power, drawn from the five floorplans, with the tile pitch 302 that resolves it (500 / 200 / 100 µm). MEASURED at matched die watts (§P0.32, §P0.34)." title="" id="1" name="Picture"/>
            <a:graphic>
              <a:graphicData uri="http://schemas.openxmlformats.org/drawingml/2006/picture">
                <pic:pic>
                  <pic:nvPicPr>
                    <pic:cNvPr descr="figures/pat_fig3.png" id="0" name="Picture"/>
                    <pic:cNvPicPr>
                      <a:picLocks noChangeArrowheads="1" noChangeAspect="1"/>
                    </pic:cNvPicPr>
                  </pic:nvPicPr>
                  <pic:blipFill>
                    <a:blip r:embed="rId48"/>
                    <a:stretch>
                      <a:fillRect/>
                    </a:stretch>
                  </pic:blipFill>
                  <pic:spPr bwMode="auto">
                    <a:xfrm>
                      <a:off x="0" y="0"/>
                      <a:ext cx="5334000" cy="3358873"/>
                    </a:xfrm>
                    <a:prstGeom prst="rect">
                      <a:avLst/>
                    </a:prstGeom>
                    <a:noFill/>
                    <a:ln w="9525">
                      <a:noFill/>
                      <a:headEnd/>
                      <a:tailEnd/>
                    </a:ln>
                  </pic:spPr>
                </pic:pic>
              </a:graphicData>
            </a:graphic>
          </wp:inline>
        </w:drawing>
      </w:r>
    </w:p>
    <w:p>
      <w:pPr>
        <w:pStyle w:val="ImageCaption"/>
      </w:pPr>
      <w:r>
        <w:t xml:space="preserve">FIG. 3 — Gen 1: the execution cluster densified 2× / 4× / 8× / 16× at unchanged power, drawn from the five floorplans, with the tile pitch 302 that resolves it (500 / 200 / 100 µm). MEASURED at matched die watts (§P0.32, §P0.34).</w:t>
      </w:r>
    </w:p>
    <w:p>
      <w:pPr>
        <w:pStyle w:val="CaptionedFigure"/>
      </w:pPr>
      <w:r>
        <w:drawing>
          <wp:inline>
            <wp:extent cx="5334000" cy="3358873"/>
            <wp:effectExtent b="0" l="0" r="0" t="0"/>
            <wp:docPr descr="FIG. 3B — Gen 1 with a COMPACT cluster (19 Sep, §P0.36): the four execution units grouped into one near-square block instead of the tiler’s strips; same areas, powers and die area; the notes are read from the evidence file. MEASURED: the compact 2× / 4× / 8× clusters are as cheap or cheaper (0.85–1.04×) and the 4× and 8× gain the 243 W rung; the compact 16× holds only 121 W." title="" id="1" name="Picture"/>
            <a:graphic>
              <a:graphicData uri="http://schemas.openxmlformats.org/drawingml/2006/picture">
                <pic:pic>
                  <pic:nvPicPr>
                    <pic:cNvPr descr="figures/pat_fig3b.png" id="0" name="Picture"/>
                    <pic:cNvPicPr>
                      <a:picLocks noChangeArrowheads="1" noChangeAspect="1"/>
                    </pic:cNvPicPr>
                  </pic:nvPicPr>
                  <pic:blipFill>
                    <a:blip r:embed="rId49"/>
                    <a:stretch>
                      <a:fillRect/>
                    </a:stretch>
                  </pic:blipFill>
                  <pic:spPr bwMode="auto">
                    <a:xfrm>
                      <a:off x="0" y="0"/>
                      <a:ext cx="5334000" cy="3358873"/>
                    </a:xfrm>
                    <a:prstGeom prst="rect">
                      <a:avLst/>
                    </a:prstGeom>
                    <a:noFill/>
                    <a:ln w="9525">
                      <a:noFill/>
                      <a:headEnd/>
                      <a:tailEnd/>
                    </a:ln>
                  </pic:spPr>
                </pic:pic>
              </a:graphicData>
            </a:graphic>
          </wp:inline>
        </w:drawing>
      </w:r>
    </w:p>
    <w:p>
      <w:pPr>
        <w:pStyle w:val="ImageCaption"/>
      </w:pPr>
      <w:r>
        <w:t xml:space="preserve">FIG. 3B — Gen 1 with a COMPACT cluster (19 Sep, §P0.36): the four execution units grouped into one near-square block instead of the tiler’s strips; same areas, powers and die area; the notes are read from the evidence file. MEASURED: the compact 2× / 4× / 8× clusters are as cheap or cheaper (0.85–1.04×) and the 4× and 8× gain the 243 W rung; the compact 16× holds only 121 W.</w:t>
      </w:r>
    </w:p>
    <w:p>
      <w:pPr>
        <w:pStyle w:val="CaptionedFigure"/>
      </w:pPr>
      <w:r>
        <w:drawing>
          <wp:inline>
            <wp:extent cx="5334000" cy="3358873"/>
            <wp:effectExtent b="0" l="0" r="0" t="0"/>
            <wp:docPr descr="FIG. 3C — Gen 1 with DESIGNED fingers 906 (19 Sep, §P0.38): one execution column, every execution unit a full-width strip with scheduler / register-file logic on both sides, hot strips 140–270 µm apart under their own 100 µm tiles; beside the slicing tiler’s strips at the same areas, powers and die area. MEASURED: the designed fingers hold every rung to 243 W at 16× (s 0.76) and at 32× (s 0.85), 0 tiles capped, for 0.74–0.79× the strips’ plan; the strips lose 243 W at 16× and 202 W at 32×." title="" id="1" name="Picture"/>
            <a:graphic>
              <a:graphicData uri="http://schemas.openxmlformats.org/drawingml/2006/picture">
                <pic:pic>
                  <pic:nvPicPr>
                    <pic:cNvPr descr="figures/pat_fig3c.png" id="0" name="Picture"/>
                    <pic:cNvPicPr>
                      <a:picLocks noChangeArrowheads="1" noChangeAspect="1"/>
                    </pic:cNvPicPr>
                  </pic:nvPicPr>
                  <pic:blipFill>
                    <a:blip r:embed="rId50"/>
                    <a:stretch>
                      <a:fillRect/>
                    </a:stretch>
                  </pic:blipFill>
                  <pic:spPr bwMode="auto">
                    <a:xfrm>
                      <a:off x="0" y="0"/>
                      <a:ext cx="5334000" cy="3358873"/>
                    </a:xfrm>
                    <a:prstGeom prst="rect">
                      <a:avLst/>
                    </a:prstGeom>
                    <a:noFill/>
                    <a:ln w="9525">
                      <a:noFill/>
                      <a:headEnd/>
                      <a:tailEnd/>
                    </a:ln>
                  </pic:spPr>
                </pic:pic>
              </a:graphicData>
            </a:graphic>
          </wp:inline>
        </w:drawing>
      </w:r>
    </w:p>
    <w:p>
      <w:pPr>
        <w:pStyle w:val="ImageCaption"/>
      </w:pPr>
      <w:r>
        <w:t xml:space="preserve">FIG. 3C — Gen 1 with DESIGNED fingers 906 (19 Sep, §P0.38): one execution column, every execution unit a full-width strip with scheduler / register-file logic on both sides, hot strips 140–270 µm apart under their own 100 µm tiles; beside the slicing tiler’s strips at the same areas, powers and die area. MEASURED: the designed fingers hold every rung to 243 W at 16× (s 0.76) and at 32× (s 0.85), 0 tiles capped, for 0.74–0.79× the strips’ plan; the strips lose 243 W at 16× and 202 W at 32×.</w:t>
      </w:r>
    </w:p>
    <w:p>
      <w:pPr>
        <w:pStyle w:val="CaptionedFigure"/>
      </w:pPr>
      <w:r>
        <w:drawing>
          <wp:inline>
            <wp:extent cx="5334000" cy="3123871"/>
            <wp:effectExtent b="0" l="0" r="0" t="0"/>
            <wp:docPr descr="FIG. 4 — Gen 1 in section: rails 400 widened (402) over the cluster — MEASURED 19 Sep (§P0.39, static IR): native rails cost the 8× / 16× cluster 19 / 31 % of clock with the array idle, widening by the current-density ratio restores it; the target 410 chosen on an EM / TDDB lifetime budget; insets: the budget’s Arrhenius ladder and the period’s composition. MEASURED (the ladder on the card, the coupled search) on ARGUED constants (§P0.31)." title="" id="1" name="Picture"/>
            <a:graphic>
              <a:graphicData uri="http://schemas.openxmlformats.org/drawingml/2006/picture">
                <pic:pic>
                  <pic:nvPicPr>
                    <pic:cNvPr descr="figures/pat_fig4.png" id="0" name="Picture"/>
                    <pic:cNvPicPr>
                      <a:picLocks noChangeArrowheads="1" noChangeAspect="1"/>
                    </pic:cNvPicPr>
                  </pic:nvPicPr>
                  <pic:blipFill>
                    <a:blip r:embed="rId51"/>
                    <a:stretch>
                      <a:fillRect/>
                    </a:stretch>
                  </pic:blipFill>
                  <pic:spPr bwMode="auto">
                    <a:xfrm>
                      <a:off x="0" y="0"/>
                      <a:ext cx="5334000" cy="3123871"/>
                    </a:xfrm>
                    <a:prstGeom prst="rect">
                      <a:avLst/>
                    </a:prstGeom>
                    <a:noFill/>
                    <a:ln w="9525">
                      <a:noFill/>
                      <a:headEnd/>
                      <a:tailEnd/>
                    </a:ln>
                  </pic:spPr>
                </pic:pic>
              </a:graphicData>
            </a:graphic>
          </wp:inline>
        </w:drawing>
      </w:r>
    </w:p>
    <w:p>
      <w:pPr>
        <w:pStyle w:val="ImageCaption"/>
      </w:pPr>
      <w:r>
        <w:t xml:space="preserve">FIG. 4 — Gen 1 in section: rails 400 widened (402) over the cluster — MEASURED 19 Sep (§P0.39, static IR): native rails cost the 8× / 16× cluster 19 / 31 % of clock with the array idle, widening by the current-density ratio restores it; the target 410 chosen on an EM / TDDB lifetime budget; insets: the budget’s Arrhenius ladder and the period’s composition. MEASURED (the ladder on the card, the coupled search) on ARGUED constants (§P0.31).</w:t>
      </w:r>
    </w:p>
    <w:p>
      <w:pPr>
        <w:pStyle w:val="CaptionedFigure"/>
      </w:pPr>
      <w:r>
        <w:drawing>
          <wp:inline>
            <wp:extent cx="5334000" cy="2247402"/>
            <wp:effectExtent b="0" l="0" r="0" t="0"/>
            <wp:docPr descr="FIG. 5 — The tile against a dense unit and the film’s cold end: coarse tile → conservation; matched tile → held; matched tile at the top rung → the tile at 253 K, capped; the responses 502–508, MEASURED 19 Sep (§P0.35): with a hot-zone material whose capability rises on cooling the 8× cluster holds 243 W (s 0.88–0.91); a dual-material layout over the execution column suffices; 50 µm pitch loses every dye row; the price is 6–10× the pump power at the coldest tile. The cold-tolerant material is a ceiling design point, not a device." title="" id="1" name="Picture"/>
            <a:graphic>
              <a:graphicData uri="http://schemas.openxmlformats.org/drawingml/2006/picture">
                <pic:pic>
                  <pic:nvPicPr>
                    <pic:cNvPr descr="figures/pat_fig5.png" id="0" name="Picture"/>
                    <pic:cNvPicPr>
                      <a:picLocks noChangeArrowheads="1" noChangeAspect="1"/>
                    </pic:cNvPicPr>
                  </pic:nvPicPr>
                  <pic:blipFill>
                    <a:blip r:embed="rId52"/>
                    <a:stretch>
                      <a:fillRect/>
                    </a:stretch>
                  </pic:blipFill>
                  <pic:spPr bwMode="auto">
                    <a:xfrm>
                      <a:off x="0" y="0"/>
                      <a:ext cx="5334000" cy="2247402"/>
                    </a:xfrm>
                    <a:prstGeom prst="rect">
                      <a:avLst/>
                    </a:prstGeom>
                    <a:noFill/>
                    <a:ln w="9525">
                      <a:noFill/>
                      <a:headEnd/>
                      <a:tailEnd/>
                    </a:ln>
                  </pic:spPr>
                </pic:pic>
              </a:graphicData>
            </a:graphic>
          </wp:inline>
        </w:drawing>
      </w:r>
    </w:p>
    <w:p>
      <w:pPr>
        <w:pStyle w:val="ImageCaption"/>
      </w:pPr>
      <w:r>
        <w:t xml:space="preserve">FIG. 5 — The tile against a dense unit and the film’s cold end: coarse tile → conservation; matched tile → held; matched tile at the top rung → the tile at 253 K, capped; the responses 502–508, MEASURED 19 Sep (§P0.35): with a hot-zone material whose capability rises on cooling the 8× cluster holds 243 W (s 0.88–0.91); a dual-material layout over the execution column suffices; 50 µm pitch loses every dye row; the price is 6–10× the pump power at the coldest tile. The cold-tolerant material is a ceiling design point, not a device.</w:t>
      </w:r>
    </w:p>
    <w:p>
      <w:pPr>
        <w:pStyle w:val="CaptionedFigure"/>
      </w:pPr>
      <w:r>
        <w:drawing>
          <wp:inline>
            <wp:extent cx="5334000" cy="1965245"/>
            <wp:effectExtent b="0" l="0" r="0" t="0"/>
            <wp:docPr descr="FIG. 6 — Gen 3: (a) the storage die 610 on the sink side — MEASURED, falsified (X4); (b) the two-sided stack 610–620 — MEASURED on its thermal side 19 Sep (§P0.37): 280 K for 10.9–13.7 W on the storage die’s own array 612 with the compute array at 0 W, a deliberately poor far-face sink 614 required, cost linear in the interface’s conductance, Cr:LiSAF 1.7 W short; the leakage it collects depends on the memory’s cell class (HP-cell input here; 306× less with low-standby-power cells, §P0.40; the region where it pays is being mapped, §P0.42); the interface’s construction ARGUED; (c) the 2.5D placement 630–632 — ARGUED." title="" id="1" name="Picture"/>
            <a:graphic>
              <a:graphicData uri="http://schemas.openxmlformats.org/drawingml/2006/picture">
                <pic:pic>
                  <pic:nvPicPr>
                    <pic:cNvPr descr="figures/pat_fig6.png" id="0" name="Picture"/>
                    <pic:cNvPicPr>
                      <a:picLocks noChangeArrowheads="1" noChangeAspect="1"/>
                    </pic:cNvPicPr>
                  </pic:nvPicPr>
                  <pic:blipFill>
                    <a:blip r:embed="rId53"/>
                    <a:stretch>
                      <a:fillRect/>
                    </a:stretch>
                  </pic:blipFill>
                  <pic:spPr bwMode="auto">
                    <a:xfrm>
                      <a:off x="0" y="0"/>
                      <a:ext cx="5334000" cy="1965245"/>
                    </a:xfrm>
                    <a:prstGeom prst="rect">
                      <a:avLst/>
                    </a:prstGeom>
                    <a:noFill/>
                    <a:ln w="9525">
                      <a:noFill/>
                      <a:headEnd/>
                      <a:tailEnd/>
                    </a:ln>
                  </pic:spPr>
                </pic:pic>
              </a:graphicData>
            </a:graphic>
          </wp:inline>
        </w:drawing>
      </w:r>
    </w:p>
    <w:p>
      <w:pPr>
        <w:pStyle w:val="ImageCaption"/>
      </w:pPr>
      <w:r>
        <w:t xml:space="preserve">FIG. 6 — Gen 3: (a) the storage die 610 on the sink side — MEASURED, falsified (X4); (b) the two-sided stack 610–620 — MEASURED on its thermal side 19 Sep (§P0.37): 280 K for 10.9–13.7 W on the storage die’s own array 612 with the compute array at 0 W, a deliberately poor far-face sink 614 required, cost linear in the interface’s conductance, Cr:LiSAF 1.7 W short; the leakage it collects depends on the memory’s cell class (HP-cell input here; 306× less with low-standby-power cells, §P0.40; the region where it pays is being mapped, §P0.42); the interface’s construction ARGUED; (c) the 2.5D placement 630–632 — ARGUED.</w:t>
      </w:r>
    </w:p>
    <w:p>
      <w:pPr>
        <w:pStyle w:val="CaptionedFigure"/>
      </w:pPr>
      <w:r>
        <w:drawing>
          <wp:inline>
            <wp:extent cx="5334000" cy="3056112"/>
            <wp:effectExtent b="0" l="0" r="0" t="0"/>
            <wp:docPr descr="FIG. 7 — The evolved core 100′ composed: dense cluster 110′ under matched tiles 302, rails 402, target 410, low-V_t cells 700 (ARGUED), storage die 610 off the heat path (MEASURED on its thermal side, §P0.37; interface construction ARGUED); section B–B′." title="" id="1" name="Picture"/>
            <a:graphic>
              <a:graphicData uri="http://schemas.openxmlformats.org/drawingml/2006/picture">
                <pic:pic>
                  <pic:nvPicPr>
                    <pic:cNvPr descr="figures/pat_fig7.png" id="0" name="Picture"/>
                    <pic:cNvPicPr>
                      <a:picLocks noChangeArrowheads="1" noChangeAspect="1"/>
                    </pic:cNvPicPr>
                  </pic:nvPicPr>
                  <pic:blipFill>
                    <a:blip r:embed="rId54"/>
                    <a:stretch>
                      <a:fillRect/>
                    </a:stretch>
                  </pic:blipFill>
                  <pic:spPr bwMode="auto">
                    <a:xfrm>
                      <a:off x="0" y="0"/>
                      <a:ext cx="5334000" cy="3056112"/>
                    </a:xfrm>
                    <a:prstGeom prst="rect">
                      <a:avLst/>
                    </a:prstGeom>
                    <a:noFill/>
                    <a:ln w="9525">
                      <a:noFill/>
                      <a:headEnd/>
                      <a:tailEnd/>
                    </a:ln>
                  </pic:spPr>
                </pic:pic>
              </a:graphicData>
            </a:graphic>
          </wp:inline>
        </w:drawing>
      </w:r>
    </w:p>
    <w:p>
      <w:pPr>
        <w:pStyle w:val="ImageCaption"/>
      </w:pPr>
      <w:r>
        <w:t xml:space="preserve">FIG. 7 — The evolved core 100′ composed: dense cluster 110′ under matched tiles 302, rails 402, target 410, low-V_t cells 700 (ARGUED), storage die 610 off the heat path (MEASURED on its thermal side, §P0.37; interface construction ARGUED); section B–B′.</w:t>
      </w:r>
    </w:p>
    <w:p>
      <w:pPr>
        <w:pStyle w:val="CaptionedFigure"/>
      </w:pPr>
      <w:r>
        <w:drawing>
          <wp:inline>
            <wp:extent cx="5334000" cy="3217446"/>
            <wp:effectExtent b="0" l="0" r="0" t="0"/>
            <wp:docPr descr="FIG. 8 — The ladder: one architectural change per measured constraint, solid = MEASURED, dashed = ARGUED." title="" id="1" name="Picture"/>
            <a:graphic>
              <a:graphicData uri="http://schemas.openxmlformats.org/drawingml/2006/picture">
                <pic:pic>
                  <pic:nvPicPr>
                    <pic:cNvPr descr="figures/pat_fig8.png" id="0" name="Picture"/>
                    <pic:cNvPicPr>
                      <a:picLocks noChangeArrowheads="1" noChangeAspect="1"/>
                    </pic:cNvPicPr>
                  </pic:nvPicPr>
                  <pic:blipFill>
                    <a:blip r:embed="rId55"/>
                    <a:stretch>
                      <a:fillRect/>
                    </a:stretch>
                  </pic:blipFill>
                  <pic:spPr bwMode="auto">
                    <a:xfrm>
                      <a:off x="0" y="0"/>
                      <a:ext cx="5334000" cy="3217446"/>
                    </a:xfrm>
                    <a:prstGeom prst="rect">
                      <a:avLst/>
                    </a:prstGeom>
                    <a:noFill/>
                    <a:ln w="9525">
                      <a:noFill/>
                      <a:headEnd/>
                      <a:tailEnd/>
                    </a:ln>
                  </pic:spPr>
                </pic:pic>
              </a:graphicData>
            </a:graphic>
          </wp:inline>
        </w:drawing>
      </w:r>
    </w:p>
    <w:p>
      <w:pPr>
        <w:pStyle w:val="ImageCaption"/>
      </w:pPr>
      <w:r>
        <w:t xml:space="preserve">FIG. 8 — The ladder: one architectural change per measured constraint, solid = MEASURED, dashed = ARGUED.</w:t>
      </w:r>
    </w:p>
    <w:p>
      <w:pPr>
        <w:pStyle w:val="CaptionedFigure"/>
      </w:pPr>
      <w:r>
        <w:drawing>
          <wp:inline>
            <wp:extent cx="5334000" cy="2015136"/>
            <wp:effectExtent b="0" l="0" r="0" t="0"/>
            <wp:docPr descr="FIG. 9 — The shape rule (19 Sep, §P0.36 / §P0.38): compact to ~8×; beyond it, interdigitate. (a) the 8× cluster as a compact block 902: cheaper and a rung higher; (b) the 16× compact block 902′: no steady state above 121 W with nothing capped — unchanged without the 45 K lift, under either material and at 5 µm burial; a 50 µm tile of the cold-tolerant material buys one rung (162 W): transport and tile resolution; (c) the same 16× units as the slicing tiler’s strips 904: held to 202 W; (d) the DESIGNED fingers 906 at 32×: every rung held to 243 W (s 0.85; 16×: s 0.76). MEASURED; (c)-vs-(d) is like for like on the 50 µm grid, (b) keeps the sub-cell caveat." title="" id="1" name="Picture"/>
            <a:graphic>
              <a:graphicData uri="http://schemas.openxmlformats.org/drawingml/2006/picture">
                <pic:pic>
                  <pic:nvPicPr>
                    <pic:cNvPr descr="figures/pat_fig9.png" id="0" name="Picture"/>
                    <pic:cNvPicPr>
                      <a:picLocks noChangeArrowheads="1" noChangeAspect="1"/>
                    </pic:cNvPicPr>
                  </pic:nvPicPr>
                  <pic:blipFill>
                    <a:blip r:embed="rId56"/>
                    <a:stretch>
                      <a:fillRect/>
                    </a:stretch>
                  </pic:blipFill>
                  <pic:spPr bwMode="auto">
                    <a:xfrm>
                      <a:off x="0" y="0"/>
                      <a:ext cx="5334000" cy="2015136"/>
                    </a:xfrm>
                    <a:prstGeom prst="rect">
                      <a:avLst/>
                    </a:prstGeom>
                    <a:noFill/>
                    <a:ln w="9525">
                      <a:noFill/>
                      <a:headEnd/>
                      <a:tailEnd/>
                    </a:ln>
                  </pic:spPr>
                </pic:pic>
              </a:graphicData>
            </a:graphic>
          </wp:inline>
        </w:drawing>
      </w:r>
    </w:p>
    <w:p>
      <w:pPr>
        <w:pStyle w:val="ImageCaption"/>
      </w:pPr>
      <w:r>
        <w:t xml:space="preserve">FIG. 9 — The shape rule (19 Sep, §P0.36 / §P0.38): compact to ~8×; beyond it, interdigitate. (a) the 8× cluster as a compact block 902: cheaper and a rung higher; (b) the 16× compact block 902′: no steady state above 121 W with nothing capped — unchanged without the 45 K lift, under either material and at 5 µm burial; a 50 µm tile of the cold-tolerant material buys one rung (162 W): transport and tile resolution; (c) the same 16× units as the slicing tiler’s strips 904: held to 202 W; (d) the DESIGNED fingers 906 at 32×: every rung held to 243 W (s 0.85; 16×: s 0.76). MEASURED; (c)-vs-(d) is like for like on the 50 µm grid, (b) keeps the sub-cell caveat.</w:t>
      </w:r>
    </w:p>
    <w:p>
      <w:pPr>
        <w:pStyle w:val="BodyText"/>
      </w:pPr>
      <w:r>
        <w:rPr>
          <w:b/>
        </w:rPr>
        <w:t xml:space="preserve">Reference numerals.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numeral</w:t>
            </w:r>
          </w:p>
        </w:tc>
        <w:tc>
          <w:tcPr>
            <w:tcBorders>
              <w:bottom w:val="single"/>
            </w:tcBorders>
            <w:vAlign w:val="bottom"/>
          </w:tcPr>
          <w:p>
            <w:pPr>
              <w:pStyle w:val="Compact"/>
              <w:jc w:val="left"/>
            </w:pPr>
            <w:r>
              <w:t xml:space="preserve">element</w:t>
            </w:r>
          </w:p>
        </w:tc>
        <w:tc>
          <w:tcPr>
            <w:tcBorders>
              <w:bottom w:val="single"/>
            </w:tcBorders>
            <w:vAlign w:val="bottom"/>
          </w:tcPr>
          <w:p>
            <w:pPr>
              <w:pStyle w:val="Compact"/>
              <w:jc w:val="left"/>
            </w:pPr>
            <w:r>
              <w:t xml:space="preserve">first figure</w:t>
            </w:r>
          </w:p>
        </w:tc>
      </w:tr>
      <w:tr>
        <w:tc>
          <w:p>
            <w:pPr>
              <w:pStyle w:val="Compact"/>
              <w:jc w:val="left"/>
            </w:pPr>
            <w:r>
              <w:t xml:space="preserve">100</w:t>
            </w:r>
          </w:p>
        </w:tc>
        <w:tc>
          <w:p>
            <w:pPr>
              <w:pStyle w:val="Compact"/>
              <w:jc w:val="left"/>
            </w:pPr>
            <w:r>
              <w:t xml:space="preserve">core as traced (gen 0)</w:t>
            </w:r>
          </w:p>
        </w:tc>
        <w:tc>
          <w:p>
            <w:pPr>
              <w:pStyle w:val="Compact"/>
              <w:jc w:val="left"/>
            </w:pPr>
            <w:r>
              <w:t xml:space="preserve">FIG. 1</w:t>
            </w:r>
          </w:p>
        </w:tc>
      </w:tr>
      <w:tr>
        <w:tc>
          <w:p>
            <w:pPr>
              <w:pStyle w:val="Compact"/>
              <w:jc w:val="left"/>
            </w:pPr>
            <w:r>
              <w:t xml:space="preserve">110</w:t>
            </w:r>
          </w:p>
        </w:tc>
        <w:tc>
          <w:p>
            <w:pPr>
              <w:pStyle w:val="Compact"/>
              <w:jc w:val="left"/>
            </w:pPr>
            <w:r>
              <w:t xml:space="preserve">execution cluster</w:t>
            </w:r>
          </w:p>
        </w:tc>
        <w:tc>
          <w:p>
            <w:pPr>
              <w:pStyle w:val="Compact"/>
              <w:jc w:val="left"/>
            </w:pPr>
            <w:r>
              <w:t xml:space="preserve">FIG. 1</w:t>
            </w:r>
          </w:p>
        </w:tc>
      </w:tr>
      <w:tr>
        <w:tc>
          <w:p>
            <w:pPr>
              <w:pStyle w:val="Compact"/>
              <w:jc w:val="left"/>
            </w:pPr>
            <w:r>
              <w:t xml:space="preserve">112</w:t>
            </w:r>
          </w:p>
        </w:tc>
        <w:tc>
          <w:p>
            <w:pPr>
              <w:pStyle w:val="Compact"/>
              <w:jc w:val="left"/>
            </w:pPr>
            <w:r>
              <w:t xml:space="preserve">complex ALU (the worst block)</w:t>
            </w:r>
          </w:p>
        </w:tc>
        <w:tc>
          <w:p>
            <w:pPr>
              <w:pStyle w:val="Compact"/>
              <w:jc w:val="left"/>
            </w:pPr>
            <w:r>
              <w:t xml:space="preserve">FIG. 1</w:t>
            </w:r>
          </w:p>
        </w:tc>
      </w:tr>
      <w:tr>
        <w:tc>
          <w:p>
            <w:pPr>
              <w:pStyle w:val="Compact"/>
              <w:jc w:val="left"/>
            </w:pPr>
            <w:r>
              <w:t xml:space="preserve">114</w:t>
            </w:r>
          </w:p>
        </w:tc>
        <w:tc>
          <w:p>
            <w:pPr>
              <w:pStyle w:val="Compact"/>
              <w:jc w:val="left"/>
            </w:pPr>
            <w:r>
              <w:t xml:space="preserve">integer ALU</w:t>
            </w:r>
          </w:p>
        </w:tc>
        <w:tc>
          <w:p>
            <w:pPr>
              <w:pStyle w:val="Compact"/>
              <w:jc w:val="left"/>
            </w:pPr>
            <w:r>
              <w:t xml:space="preserve">FIG. 1</w:t>
            </w:r>
          </w:p>
        </w:tc>
      </w:tr>
      <w:tr>
        <w:tc>
          <w:p>
            <w:pPr>
              <w:pStyle w:val="Compact"/>
              <w:jc w:val="left"/>
            </w:pPr>
            <w:r>
              <w:t xml:space="preserve">116</w:t>
            </w:r>
          </w:p>
        </w:tc>
        <w:tc>
          <w:p>
            <w:pPr>
              <w:pStyle w:val="Compact"/>
              <w:jc w:val="left"/>
            </w:pPr>
            <w:r>
              <w:t xml:space="preserve">floating-point units</w:t>
            </w:r>
          </w:p>
        </w:tc>
        <w:tc>
          <w:p>
            <w:pPr>
              <w:pStyle w:val="Compact"/>
              <w:jc w:val="left"/>
            </w:pPr>
            <w:r>
              <w:t xml:space="preserve">FIG. 1</w:t>
            </w:r>
          </w:p>
        </w:tc>
      </w:tr>
      <w:tr>
        <w:tc>
          <w:p>
            <w:pPr>
              <w:pStyle w:val="Compact"/>
              <w:jc w:val="left"/>
            </w:pPr>
            <w:r>
              <w:t xml:space="preserve">118</w:t>
            </w:r>
          </w:p>
        </w:tc>
        <w:tc>
          <w:p>
            <w:pPr>
              <w:pStyle w:val="Compact"/>
              <w:jc w:val="left"/>
            </w:pPr>
            <w:r>
              <w:t xml:space="preserve">vector (AVX) units</w:t>
            </w:r>
          </w:p>
        </w:tc>
        <w:tc>
          <w:p>
            <w:pPr>
              <w:pStyle w:val="Compact"/>
              <w:jc w:val="left"/>
            </w:pPr>
            <w:r>
              <w:t xml:space="preserve">FIG. 1</w:t>
            </w:r>
          </w:p>
        </w:tc>
      </w:tr>
      <w:tr>
        <w:tc>
          <w:p>
            <w:pPr>
              <w:pStyle w:val="Compact"/>
              <w:jc w:val="left"/>
            </w:pPr>
            <w:r>
              <w:t xml:space="preserve">120</w:t>
            </w:r>
          </w:p>
        </w:tc>
        <w:tc>
          <w:p>
            <w:pPr>
              <w:pStyle w:val="Compact"/>
              <w:jc w:val="left"/>
            </w:pPr>
            <w:r>
              <w:t xml:space="preserve">L2 cache</w:t>
            </w:r>
          </w:p>
        </w:tc>
        <w:tc>
          <w:p>
            <w:pPr>
              <w:pStyle w:val="Compact"/>
              <w:jc w:val="left"/>
            </w:pPr>
            <w:r>
              <w:t xml:space="preserve">FIG. 1</w:t>
            </w:r>
          </w:p>
        </w:tc>
      </w:tr>
      <w:tr>
        <w:tc>
          <w:p>
            <w:pPr>
              <w:pStyle w:val="Compact"/>
              <w:jc w:val="left"/>
            </w:pPr>
            <w:r>
              <w:t xml:space="preserve">122</w:t>
            </w:r>
          </w:p>
        </w:tc>
        <w:tc>
          <w:p>
            <w:pPr>
              <w:pStyle w:val="Compact"/>
              <w:jc w:val="left"/>
            </w:pPr>
            <w:r>
              <w:t xml:space="preserve">L3 slice</w:t>
            </w:r>
          </w:p>
        </w:tc>
        <w:tc>
          <w:p>
            <w:pPr>
              <w:pStyle w:val="Compact"/>
              <w:jc w:val="left"/>
            </w:pPr>
            <w:r>
              <w:t xml:space="preserve">FIG. 1</w:t>
            </w:r>
          </w:p>
        </w:tc>
      </w:tr>
      <w:tr>
        <w:tc>
          <w:p>
            <w:pPr>
              <w:pStyle w:val="Compact"/>
              <w:jc w:val="left"/>
            </w:pPr>
            <w:r>
              <w:t xml:space="preserve">124</w:t>
            </w:r>
          </w:p>
        </w:tc>
        <w:tc>
          <w:p>
            <w:pPr>
              <w:pStyle w:val="Compact"/>
              <w:jc w:val="left"/>
            </w:pPr>
            <w:r>
              <w:t xml:space="preserve">data cache</w:t>
            </w:r>
          </w:p>
        </w:tc>
        <w:tc>
          <w:p>
            <w:pPr>
              <w:pStyle w:val="Compact"/>
              <w:jc w:val="left"/>
            </w:pPr>
            <w:r>
              <w:t xml:space="preserve">FIG. 1</w:t>
            </w:r>
          </w:p>
        </w:tc>
      </w:tr>
      <w:tr>
        <w:tc>
          <w:p>
            <w:pPr>
              <w:pStyle w:val="Compact"/>
              <w:jc w:val="left"/>
            </w:pPr>
            <w:r>
              <w:t xml:space="preserve">126</w:t>
            </w:r>
          </w:p>
        </w:tc>
        <w:tc>
          <w:p>
            <w:pPr>
              <w:pStyle w:val="Compact"/>
              <w:jc w:val="left"/>
            </w:pPr>
            <w:r>
              <w:t xml:space="preserve">instruction cache</w:t>
            </w:r>
          </w:p>
        </w:tc>
        <w:tc>
          <w:p>
            <w:pPr>
              <w:pStyle w:val="Compact"/>
              <w:jc w:val="left"/>
            </w:pPr>
            <w:r>
              <w:t xml:space="preserve">FIG. 1</w:t>
            </w:r>
          </w:p>
        </w:tc>
      </w:tr>
      <w:tr>
        <w:tc>
          <w:p>
            <w:pPr>
              <w:pStyle w:val="Compact"/>
              <w:jc w:val="left"/>
            </w:pPr>
            <w:r>
              <w:t xml:space="preserve">130</w:t>
            </w:r>
          </w:p>
        </w:tc>
        <w:tc>
          <w:p>
            <w:pPr>
              <w:pStyle w:val="Compact"/>
              <w:jc w:val="left"/>
            </w:pPr>
            <w:r>
              <w:t xml:space="preserve">front end / scheduler</w:t>
            </w:r>
          </w:p>
        </w:tc>
        <w:tc>
          <w:p>
            <w:pPr>
              <w:pStyle w:val="Compact"/>
              <w:jc w:val="left"/>
            </w:pPr>
            <w:r>
              <w:t xml:space="preserve">FIG. 1</w:t>
            </w:r>
          </w:p>
        </w:tc>
      </w:tr>
      <w:tr>
        <w:tc>
          <w:p>
            <w:pPr>
              <w:pStyle w:val="Compact"/>
              <w:jc w:val="left"/>
            </w:pPr>
            <w:r>
              <w:t xml:space="preserve">140</w:t>
            </w:r>
          </w:p>
        </w:tc>
        <w:tc>
          <w:p>
            <w:pPr>
              <w:pStyle w:val="Compact"/>
              <w:jc w:val="left"/>
            </w:pPr>
            <w:r>
              <w:t xml:space="preserve">control slab</w:t>
            </w:r>
          </w:p>
        </w:tc>
        <w:tc>
          <w:p>
            <w:pPr>
              <w:pStyle w:val="Compact"/>
              <w:jc w:val="left"/>
            </w:pPr>
            <w:r>
              <w:t xml:space="preserve">FIG. 1</w:t>
            </w:r>
          </w:p>
        </w:tc>
      </w:tr>
      <w:tr>
        <w:tc>
          <w:p>
            <w:pPr>
              <w:pStyle w:val="Compact"/>
              <w:jc w:val="left"/>
            </w:pPr>
            <w:r>
              <w:t xml:space="preserve">200</w:t>
            </w:r>
          </w:p>
        </w:tc>
        <w:tc>
          <w:p>
            <w:pPr>
              <w:pStyle w:val="Compact"/>
              <w:jc w:val="left"/>
            </w:pPr>
            <w:r>
              <w:t xml:space="preserve">substrate and bumps</w:t>
            </w:r>
          </w:p>
        </w:tc>
        <w:tc>
          <w:p>
            <w:pPr>
              <w:pStyle w:val="Compact"/>
              <w:jc w:val="left"/>
            </w:pPr>
            <w:r>
              <w:t xml:space="preserve">FIG. 1</w:t>
            </w:r>
          </w:p>
        </w:tc>
      </w:tr>
      <w:tr>
        <w:tc>
          <w:p>
            <w:pPr>
              <w:pStyle w:val="Compact"/>
              <w:jc w:val="left"/>
            </w:pPr>
            <w:r>
              <w:t xml:space="preserve">202</w:t>
            </w:r>
          </w:p>
        </w:tc>
        <w:tc>
          <w:p>
            <w:pPr>
              <w:pStyle w:val="Compact"/>
              <w:jc w:val="left"/>
            </w:pPr>
            <w:r>
              <w:t xml:space="preserve">active layer</w:t>
            </w:r>
          </w:p>
        </w:tc>
        <w:tc>
          <w:p>
            <w:pPr>
              <w:pStyle w:val="Compact"/>
              <w:jc w:val="left"/>
            </w:pPr>
            <w:r>
              <w:t xml:space="preserve">FIG. 1</w:t>
            </w:r>
          </w:p>
        </w:tc>
      </w:tr>
      <w:tr>
        <w:tc>
          <w:p>
            <w:pPr>
              <w:pStyle w:val="Compact"/>
              <w:jc w:val="left"/>
            </w:pPr>
            <w:r>
              <w:t xml:space="preserve">204</w:t>
            </w:r>
          </w:p>
        </w:tc>
        <w:tc>
          <w:p>
            <w:pPr>
              <w:pStyle w:val="Compact"/>
              <w:jc w:val="left"/>
            </w:pPr>
            <w:r>
              <w:t xml:space="preserve">silicon above the transistors (burial depth)</w:t>
            </w:r>
          </w:p>
        </w:tc>
        <w:tc>
          <w:p>
            <w:pPr>
              <w:pStyle w:val="Compact"/>
              <w:jc w:val="left"/>
            </w:pPr>
            <w:r>
              <w:t xml:space="preserve">FIG. 1</w:t>
            </w:r>
          </w:p>
        </w:tc>
      </w:tr>
      <w:tr>
        <w:tc>
          <w:p>
            <w:pPr>
              <w:pStyle w:val="Compact"/>
              <w:jc w:val="left"/>
            </w:pPr>
            <w:r>
              <w:t xml:space="preserve">206</w:t>
            </w:r>
          </w:p>
        </w:tc>
        <w:tc>
          <w:p>
            <w:pPr>
              <w:pStyle w:val="Compact"/>
              <w:jc w:val="left"/>
            </w:pPr>
            <w:r>
              <w:t xml:space="preserve">thermal interface material</w:t>
            </w:r>
          </w:p>
        </w:tc>
        <w:tc>
          <w:p>
            <w:pPr>
              <w:pStyle w:val="Compact"/>
              <w:jc w:val="left"/>
            </w:pPr>
            <w:r>
              <w:t xml:space="preserve">FIG. 1</w:t>
            </w:r>
          </w:p>
        </w:tc>
      </w:tr>
      <w:tr>
        <w:tc>
          <w:p>
            <w:pPr>
              <w:pStyle w:val="Compact"/>
              <w:jc w:val="left"/>
            </w:pPr>
            <w:r>
              <w:t xml:space="preserve">208</w:t>
            </w:r>
          </w:p>
        </w:tc>
        <w:tc>
          <w:p>
            <w:pPr>
              <w:pStyle w:val="Compact"/>
              <w:jc w:val="left"/>
            </w:pPr>
            <w:r>
              <w:t xml:space="preserve">cold plate</w:t>
            </w:r>
          </w:p>
        </w:tc>
        <w:tc>
          <w:p>
            <w:pPr>
              <w:pStyle w:val="Compact"/>
              <w:jc w:val="left"/>
            </w:pPr>
            <w:r>
              <w:t xml:space="preserve">FIG. 1</w:t>
            </w:r>
          </w:p>
        </w:tc>
      </w:tr>
      <w:tr>
        <w:tc>
          <w:p>
            <w:pPr>
              <w:pStyle w:val="Compact"/>
              <w:jc w:val="left"/>
            </w:pPr>
            <w:r>
              <w:t xml:space="preserve">210</w:t>
            </w:r>
          </w:p>
        </w:tc>
        <w:tc>
          <w:p>
            <w:pPr>
              <w:pStyle w:val="Compact"/>
              <w:jc w:val="left"/>
            </w:pPr>
            <w:r>
              <w:t xml:space="preserve">fin stack and fan</w:t>
            </w:r>
          </w:p>
        </w:tc>
        <w:tc>
          <w:p>
            <w:pPr>
              <w:pStyle w:val="Compact"/>
              <w:jc w:val="left"/>
            </w:pPr>
            <w:r>
              <w:t xml:space="preserve">FIG. 1</w:t>
            </w:r>
          </w:p>
        </w:tc>
      </w:tr>
      <w:tr>
        <w:tc>
          <w:p>
            <w:pPr>
              <w:pStyle w:val="Compact"/>
              <w:jc w:val="left"/>
            </w:pPr>
            <w:r>
              <w:t xml:space="preserve">300</w:t>
            </w:r>
          </w:p>
        </w:tc>
        <w:tc>
          <w:p>
            <w:pPr>
              <w:pStyle w:val="Compact"/>
              <w:jc w:val="left"/>
            </w:pPr>
            <w:r>
              <w:t xml:space="preserve">photonic cooling layer (tile array)</w:t>
            </w:r>
          </w:p>
        </w:tc>
        <w:tc>
          <w:p>
            <w:pPr>
              <w:pStyle w:val="Compact"/>
              <w:jc w:val="left"/>
            </w:pPr>
            <w:r>
              <w:t xml:space="preserve">FIG. 2</w:t>
            </w:r>
          </w:p>
        </w:tc>
      </w:tr>
      <w:tr>
        <w:tc>
          <w:p>
            <w:pPr>
              <w:pStyle w:val="Compact"/>
              <w:jc w:val="left"/>
            </w:pPr>
            <w:r>
              <w:t xml:space="preserve">302</w:t>
            </w:r>
          </w:p>
        </w:tc>
        <w:tc>
          <w:p>
            <w:pPr>
              <w:pStyle w:val="Compact"/>
              <w:jc w:val="left"/>
            </w:pPr>
            <w:r>
              <w:t xml:space="preserve">anti-Stokes tile (GaAs or SiN-encapsulated dye, 30 µm)</w:t>
            </w:r>
          </w:p>
        </w:tc>
        <w:tc>
          <w:p>
            <w:pPr>
              <w:pStyle w:val="Compact"/>
              <w:jc w:val="left"/>
            </w:pPr>
            <w:r>
              <w:t xml:space="preserve">FIG. 2</w:t>
            </w:r>
          </w:p>
        </w:tc>
      </w:tr>
      <w:tr>
        <w:tc>
          <w:p>
            <w:pPr>
              <w:pStyle w:val="Compact"/>
              <w:jc w:val="left"/>
            </w:pPr>
            <w:r>
              <w:t xml:space="preserve">304</w:t>
            </w:r>
          </w:p>
        </w:tc>
        <w:tc>
          <w:p>
            <w:pPr>
              <w:pStyle w:val="Compact"/>
              <w:jc w:val="left"/>
            </w:pPr>
            <w:r>
              <w:t xml:space="preserve">pump waveguides and couplers</w:t>
            </w:r>
          </w:p>
        </w:tc>
        <w:tc>
          <w:p>
            <w:pPr>
              <w:pStyle w:val="Compact"/>
              <w:jc w:val="left"/>
            </w:pPr>
            <w:r>
              <w:t xml:space="preserve">FIG. 2</w:t>
            </w:r>
          </w:p>
        </w:tc>
      </w:tr>
      <w:tr>
        <w:tc>
          <w:p>
            <w:pPr>
              <w:pStyle w:val="Compact"/>
              <w:jc w:val="left"/>
            </w:pPr>
            <w:r>
              <w:t xml:space="preserve">306</w:t>
            </w:r>
          </w:p>
        </w:tc>
        <w:tc>
          <w:p>
            <w:pPr>
              <w:pStyle w:val="Compact"/>
              <w:jc w:val="left"/>
            </w:pPr>
            <w:r>
              <w:t xml:space="preserve">luminescence collector</w:t>
            </w:r>
          </w:p>
        </w:tc>
        <w:tc>
          <w:p>
            <w:pPr>
              <w:pStyle w:val="Compact"/>
              <w:jc w:val="left"/>
            </w:pPr>
            <w:r>
              <w:t xml:space="preserve">FIG. 2</w:t>
            </w:r>
          </w:p>
        </w:tc>
      </w:tr>
      <w:tr>
        <w:tc>
          <w:p>
            <w:pPr>
              <w:pStyle w:val="Compact"/>
              <w:jc w:val="left"/>
            </w:pPr>
            <w:r>
              <w:t xml:space="preserve">310</w:t>
            </w:r>
          </w:p>
        </w:tc>
        <w:tc>
          <w:p>
            <w:pPr>
              <w:pStyle w:val="Compact"/>
              <w:jc w:val="left"/>
            </w:pPr>
            <w:r>
              <w:t xml:space="preserve">controller</w:t>
            </w:r>
          </w:p>
        </w:tc>
        <w:tc>
          <w:p>
            <w:pPr>
              <w:pStyle w:val="Compact"/>
              <w:jc w:val="left"/>
            </w:pPr>
            <w:r>
              <w:t xml:space="preserve">FIG. 2</w:t>
            </w:r>
          </w:p>
        </w:tc>
      </w:tr>
      <w:tr>
        <w:tc>
          <w:p>
            <w:pPr>
              <w:pStyle w:val="Compact"/>
              <w:jc w:val="left"/>
            </w:pPr>
            <w:r>
              <w:t xml:space="preserve">312</w:t>
            </w:r>
          </w:p>
        </w:tc>
        <w:tc>
          <w:p>
            <w:pPr>
              <w:pStyle w:val="Compact"/>
              <w:jc w:val="left"/>
            </w:pPr>
            <w:r>
              <w:t xml:space="preserve">sensing: per-tile temperature</w:t>
            </w:r>
          </w:p>
        </w:tc>
        <w:tc>
          <w:p>
            <w:pPr>
              <w:pStyle w:val="Compact"/>
              <w:jc w:val="left"/>
            </w:pPr>
            <w:r>
              <w:t xml:space="preserve">FIG. 2</w:t>
            </w:r>
          </w:p>
        </w:tc>
      </w:tr>
      <w:tr>
        <w:tc>
          <w:p>
            <w:pPr>
              <w:pStyle w:val="Compact"/>
              <w:jc w:val="left"/>
            </w:pPr>
            <w:r>
              <w:t xml:space="preserve">314</w:t>
            </w:r>
          </w:p>
        </w:tc>
        <w:tc>
          <w:p>
            <w:pPr>
              <w:pStyle w:val="Compact"/>
              <w:jc w:val="left"/>
            </w:pPr>
            <w:r>
              <w:t xml:space="preserve">planner: minimum plan on the cool branch under the conservation cap</w:t>
            </w:r>
          </w:p>
        </w:tc>
        <w:tc>
          <w:p>
            <w:pPr>
              <w:pStyle w:val="Compact"/>
              <w:jc w:val="left"/>
            </w:pPr>
            <w:r>
              <w:t xml:space="preserve">FIG. 2</w:t>
            </w:r>
          </w:p>
        </w:tc>
      </w:tr>
      <w:tr>
        <w:tc>
          <w:p>
            <w:pPr>
              <w:pStyle w:val="Compact"/>
              <w:jc w:val="left"/>
            </w:pPr>
            <w:r>
              <w:t xml:space="preserve">316</w:t>
            </w:r>
          </w:p>
        </w:tc>
        <w:tc>
          <w:p>
            <w:pPr>
              <w:pStyle w:val="Compact"/>
              <w:jc w:val="left"/>
            </w:pPr>
            <w:r>
              <w:t xml:space="preserve">per-tile pump drive</w:t>
            </w:r>
          </w:p>
        </w:tc>
        <w:tc>
          <w:p>
            <w:pPr>
              <w:pStyle w:val="Compact"/>
              <w:jc w:val="left"/>
            </w:pPr>
            <w:r>
              <w:t xml:space="preserve">FIG. 2</w:t>
            </w:r>
          </w:p>
        </w:tc>
      </w:tr>
      <w:tr>
        <w:tc>
          <w:p>
            <w:pPr>
              <w:pStyle w:val="Compact"/>
              <w:jc w:val="left"/>
            </w:pPr>
            <w:r>
              <w:t xml:space="preserve">110′ … 110″″</w:t>
            </w:r>
          </w:p>
        </w:tc>
        <w:tc>
          <w:p>
            <w:pPr>
              <w:pStyle w:val="Compact"/>
              <w:jc w:val="left"/>
            </w:pPr>
            <w:r>
              <w:t xml:space="preserve">the execution cluster at 2×, 4×, 8×, 16× density</w:t>
            </w:r>
          </w:p>
        </w:tc>
        <w:tc>
          <w:p>
            <w:pPr>
              <w:pStyle w:val="Compact"/>
              <w:jc w:val="left"/>
            </w:pPr>
            <w:r>
              <w:t xml:space="preserve">FIG. 3</w:t>
            </w:r>
          </w:p>
        </w:tc>
      </w:tr>
      <w:tr>
        <w:tc>
          <w:p>
            <w:pPr>
              <w:pStyle w:val="Compact"/>
              <w:jc w:val="left"/>
            </w:pPr>
            <w:r>
              <w:t xml:space="preserve">400</w:t>
            </w:r>
          </w:p>
        </w:tc>
        <w:tc>
          <w:p>
            <w:pPr>
              <w:pStyle w:val="Compact"/>
              <w:jc w:val="left"/>
            </w:pPr>
            <w:r>
              <w:t xml:space="preserve">power-distribution stripes (top metal)</w:t>
            </w:r>
          </w:p>
        </w:tc>
        <w:tc>
          <w:p>
            <w:pPr>
              <w:pStyle w:val="Compact"/>
              <w:jc w:val="left"/>
            </w:pPr>
            <w:r>
              <w:t xml:space="preserve">FIG. 4</w:t>
            </w:r>
          </w:p>
        </w:tc>
      </w:tr>
      <w:tr>
        <w:tc>
          <w:p>
            <w:pPr>
              <w:pStyle w:val="Compact"/>
              <w:jc w:val="left"/>
            </w:pPr>
            <w:r>
              <w:t xml:space="preserve">402</w:t>
            </w:r>
          </w:p>
        </w:tc>
        <w:tc>
          <w:p>
            <w:pPr>
              <w:pStyle w:val="Compact"/>
              <w:jc w:val="left"/>
            </w:pPr>
            <w:r>
              <w:t xml:space="preserve">stripes widened ~J× over the dense cluster</w:t>
            </w:r>
          </w:p>
        </w:tc>
        <w:tc>
          <w:p>
            <w:pPr>
              <w:pStyle w:val="Compact"/>
              <w:jc w:val="left"/>
            </w:pPr>
            <w:r>
              <w:t xml:space="preserve">FIG. 4</w:t>
            </w:r>
          </w:p>
        </w:tc>
      </w:tr>
      <w:tr>
        <w:tc>
          <w:p>
            <w:pPr>
              <w:pStyle w:val="Compact"/>
              <w:jc w:val="left"/>
            </w:pPr>
            <w:r>
              <w:t xml:space="preserve">410</w:t>
            </w:r>
          </w:p>
        </w:tc>
        <w:tc>
          <w:p>
            <w:pPr>
              <w:pStyle w:val="Compact"/>
              <w:jc w:val="left"/>
            </w:pPr>
            <w:r>
              <w:t xml:space="preserve">target temperature chosen on the lifetime budget</w:t>
            </w:r>
          </w:p>
        </w:tc>
        <w:tc>
          <w:p>
            <w:pPr>
              <w:pStyle w:val="Compact"/>
              <w:jc w:val="left"/>
            </w:pPr>
            <w:r>
              <w:t xml:space="preserve">FIG. 4</w:t>
            </w:r>
          </w:p>
        </w:tc>
      </w:tr>
      <w:tr>
        <w:tc>
          <w:p>
            <w:pPr>
              <w:pStyle w:val="Compact"/>
              <w:jc w:val="left"/>
            </w:pPr>
            <w:r>
              <w:t xml:space="preserve">110″</w:t>
            </w:r>
          </w:p>
        </w:tc>
        <w:tc>
          <w:p>
            <w:pPr>
              <w:pStyle w:val="Compact"/>
              <w:jc w:val="left"/>
            </w:pPr>
            <w:r>
              <w:t xml:space="preserve">the 16× (460 W/mm²) execution unit</w:t>
            </w:r>
          </w:p>
        </w:tc>
        <w:tc>
          <w:p>
            <w:pPr>
              <w:pStyle w:val="Compact"/>
              <w:jc w:val="left"/>
            </w:pPr>
            <w:r>
              <w:t xml:space="preserve">FIG. 5</w:t>
            </w:r>
          </w:p>
        </w:tc>
      </w:tr>
      <w:tr>
        <w:tc>
          <w:p>
            <w:pPr>
              <w:pStyle w:val="Compact"/>
              <w:jc w:val="left"/>
            </w:pPr>
            <w:r>
              <w:t xml:space="preserve">502</w:t>
            </w:r>
          </w:p>
        </w:tc>
        <w:tc>
          <w:p>
            <w:pPr>
              <w:pStyle w:val="Compact"/>
              <w:jc w:val="left"/>
            </w:pPr>
            <w:r>
              <w:t xml:space="preserve">tile pitch matched to the unit</w:t>
            </w:r>
          </w:p>
        </w:tc>
        <w:tc>
          <w:p>
            <w:pPr>
              <w:pStyle w:val="Compact"/>
              <w:jc w:val="left"/>
            </w:pPr>
            <w:r>
              <w:t xml:space="preserve">FIG. 5</w:t>
            </w:r>
          </w:p>
        </w:tc>
      </w:tr>
      <w:tr>
        <w:tc>
          <w:p>
            <w:pPr>
              <w:pStyle w:val="Compact"/>
              <w:jc w:val="left"/>
            </w:pPr>
            <w:r>
              <w:t xml:space="preserve">504</w:t>
            </w:r>
          </w:p>
        </w:tc>
        <w:tc>
          <w:p>
            <w:pPr>
              <w:pStyle w:val="Compact"/>
              <w:jc w:val="left"/>
            </w:pPr>
            <w:r>
              <w:t xml:space="preserve">cold-tolerant hot-zone tile material over the cluster</w:t>
            </w:r>
          </w:p>
        </w:tc>
        <w:tc>
          <w:p>
            <w:pPr>
              <w:pStyle w:val="Compact"/>
              <w:jc w:val="left"/>
            </w:pPr>
            <w:r>
              <w:t xml:space="preserve">FIG. 5</w:t>
            </w:r>
          </w:p>
        </w:tc>
      </w:tr>
      <w:tr>
        <w:tc>
          <w:p>
            <w:pPr>
              <w:pStyle w:val="Compact"/>
              <w:jc w:val="left"/>
            </w:pPr>
            <w:r>
              <w:t xml:space="preserve">506</w:t>
            </w:r>
          </w:p>
        </w:tc>
        <w:tc>
          <w:p>
            <w:pPr>
              <w:pStyle w:val="Compact"/>
              <w:jc w:val="left"/>
            </w:pPr>
            <w:r>
              <w:t xml:space="preserve">dual-material tile layout</w:t>
            </w:r>
          </w:p>
        </w:tc>
        <w:tc>
          <w:p>
            <w:pPr>
              <w:pStyle w:val="Compact"/>
              <w:jc w:val="left"/>
            </w:pPr>
            <w:r>
              <w:t xml:space="preserve">FIG. 5</w:t>
            </w:r>
          </w:p>
        </w:tc>
      </w:tr>
      <w:tr>
        <w:tc>
          <w:p>
            <w:pPr>
              <w:pStyle w:val="Compact"/>
              <w:jc w:val="left"/>
            </w:pPr>
            <w:r>
              <w:t xml:space="preserve">508</w:t>
            </w:r>
          </w:p>
        </w:tc>
        <w:tc>
          <w:p>
            <w:pPr>
              <w:pStyle w:val="Compact"/>
              <w:jc w:val="left"/>
            </w:pPr>
            <w:r>
              <w:t xml:space="preserve">coarse pitch, conservation-bound</w:t>
            </w:r>
          </w:p>
        </w:tc>
        <w:tc>
          <w:p>
            <w:pPr>
              <w:pStyle w:val="Compact"/>
              <w:jc w:val="left"/>
            </w:pPr>
            <w:r>
              <w:t xml:space="preserve">FIG. 5</w:t>
            </w:r>
          </w:p>
        </w:tc>
      </w:tr>
      <w:tr>
        <w:tc>
          <w:p>
            <w:pPr>
              <w:pStyle w:val="Compact"/>
              <w:jc w:val="left"/>
            </w:pPr>
            <w:r>
              <w:t xml:space="preserve">610</w:t>
            </w:r>
          </w:p>
        </w:tc>
        <w:tc>
          <w:p>
            <w:pPr>
              <w:pStyle w:val="Compact"/>
              <w:jc w:val="left"/>
            </w:pPr>
            <w:r>
              <w:t xml:space="preserve">storage die (L2 / L3 caches)</w:t>
            </w:r>
          </w:p>
        </w:tc>
        <w:tc>
          <w:p>
            <w:pPr>
              <w:pStyle w:val="Compact"/>
              <w:jc w:val="left"/>
            </w:pPr>
            <w:r>
              <w:t xml:space="preserve">FIG. 6</w:t>
            </w:r>
          </w:p>
        </w:tc>
      </w:tr>
      <w:tr>
        <w:tc>
          <w:p>
            <w:pPr>
              <w:pStyle w:val="Compact"/>
              <w:jc w:val="left"/>
            </w:pPr>
            <w:r>
              <w:t xml:space="preserve">612</w:t>
            </w:r>
          </w:p>
        </w:tc>
        <w:tc>
          <w:p>
            <w:pPr>
              <w:pStyle w:val="Compact"/>
              <w:jc w:val="left"/>
            </w:pPr>
            <w:r>
              <w:t xml:space="preserve">storage-side array (dye: MEASURED to hold 280 K; Cr:LiSAF: ceiling, 1.7 W short)</w:t>
            </w:r>
          </w:p>
        </w:tc>
        <w:tc>
          <w:p>
            <w:pPr>
              <w:pStyle w:val="Compact"/>
              <w:jc w:val="left"/>
            </w:pPr>
            <w:r>
              <w:t xml:space="preserve">FIG. 6</w:t>
            </w:r>
          </w:p>
        </w:tc>
      </w:tr>
      <w:tr>
        <w:tc>
          <w:p>
            <w:pPr>
              <w:pStyle w:val="Compact"/>
              <w:jc w:val="left"/>
            </w:pPr>
            <w:r>
              <w:t xml:space="preserve">614</w:t>
            </w:r>
          </w:p>
        </w:tc>
        <w:tc>
          <w:p>
            <w:pPr>
              <w:pStyle w:val="Compact"/>
              <w:jc w:val="left"/>
            </w:pPr>
            <w:r>
              <w:t xml:space="preserve">second sink, storage side, deliberately poor (~3 K/W)</w:t>
            </w:r>
          </w:p>
        </w:tc>
        <w:tc>
          <w:p>
            <w:pPr>
              <w:pStyle w:val="Compact"/>
              <w:jc w:val="left"/>
            </w:pPr>
            <w:r>
              <w:t xml:space="preserve">FIG. 6</w:t>
            </w:r>
          </w:p>
        </w:tc>
      </w:tr>
      <w:tr>
        <w:tc>
          <w:p>
            <w:pPr>
              <w:pStyle w:val="Compact"/>
              <w:jc w:val="left"/>
            </w:pPr>
            <w:r>
              <w:t xml:space="preserve">620</w:t>
            </w:r>
          </w:p>
        </w:tc>
        <w:tc>
          <w:p>
            <w:pPr>
              <w:pStyle w:val="Compact"/>
              <w:jc w:val="left"/>
            </w:pPr>
            <w:r>
              <w:t xml:space="preserve">bond / isolating interface</w:t>
            </w:r>
          </w:p>
        </w:tc>
        <w:tc>
          <w:p>
            <w:pPr>
              <w:pStyle w:val="Compact"/>
              <w:jc w:val="left"/>
            </w:pPr>
            <w:r>
              <w:t xml:space="preserve">FIG. 6</w:t>
            </w:r>
          </w:p>
        </w:tc>
      </w:tr>
      <w:tr>
        <w:tc>
          <w:p>
            <w:pPr>
              <w:pStyle w:val="Compact"/>
              <w:jc w:val="left"/>
            </w:pPr>
            <w:r>
              <w:t xml:space="preserve">630</w:t>
            </w:r>
          </w:p>
        </w:tc>
        <w:tc>
          <w:p>
            <w:pPr>
              <w:pStyle w:val="Compact"/>
              <w:jc w:val="left"/>
            </w:pPr>
            <w:r>
              <w:t xml:space="preserve">interposer</w:t>
            </w:r>
          </w:p>
        </w:tc>
        <w:tc>
          <w:p>
            <w:pPr>
              <w:pStyle w:val="Compact"/>
              <w:jc w:val="left"/>
            </w:pPr>
            <w:r>
              <w:t xml:space="preserve">FIG. 6</w:t>
            </w:r>
          </w:p>
        </w:tc>
      </w:tr>
      <w:tr>
        <w:tc>
          <w:p>
            <w:pPr>
              <w:pStyle w:val="Compact"/>
              <w:jc w:val="left"/>
            </w:pPr>
            <w:r>
              <w:t xml:space="preserve">632</w:t>
            </w:r>
          </w:p>
        </w:tc>
        <w:tc>
          <w:p>
            <w:pPr>
              <w:pStyle w:val="Compact"/>
              <w:jc w:val="left"/>
            </w:pPr>
            <w:r>
              <w:t xml:space="preserve">isolating channel</w:t>
            </w:r>
          </w:p>
        </w:tc>
        <w:tc>
          <w:p>
            <w:pPr>
              <w:pStyle w:val="Compact"/>
              <w:jc w:val="left"/>
            </w:pPr>
            <w:r>
              <w:t xml:space="preserve">FIG. 6</w:t>
            </w:r>
          </w:p>
        </w:tc>
      </w:tr>
      <w:tr>
        <w:tc>
          <w:p>
            <w:pPr>
              <w:pStyle w:val="Compact"/>
              <w:jc w:val="left"/>
            </w:pPr>
            <w:r>
              <w:t xml:space="preserve">100′</w:t>
            </w:r>
          </w:p>
        </w:tc>
        <w:tc>
          <w:p>
            <w:pPr>
              <w:pStyle w:val="Compact"/>
              <w:jc w:val="left"/>
            </w:pPr>
            <w:r>
              <w:t xml:space="preserve">the evolved core</w:t>
            </w:r>
          </w:p>
        </w:tc>
        <w:tc>
          <w:p>
            <w:pPr>
              <w:pStyle w:val="Compact"/>
              <w:jc w:val="left"/>
            </w:pPr>
            <w:r>
              <w:t xml:space="preserve">FIG. 7</w:t>
            </w:r>
          </w:p>
        </w:tc>
      </w:tr>
      <w:tr>
        <w:tc>
          <w:p>
            <w:pPr>
              <w:pStyle w:val="Compact"/>
              <w:jc w:val="left"/>
            </w:pPr>
            <w:r>
              <w:t xml:space="preserve">700</w:t>
            </w:r>
          </w:p>
        </w:tc>
        <w:tc>
          <w:p>
            <w:pPr>
              <w:pStyle w:val="Compact"/>
              <w:jc w:val="left"/>
            </w:pPr>
            <w:r>
              <w:t xml:space="preserve">low-threshold cells restricted to the cooled cluster (ARGUED)</w:t>
            </w:r>
          </w:p>
        </w:tc>
        <w:tc>
          <w:p>
            <w:pPr>
              <w:pStyle w:val="Compact"/>
              <w:jc w:val="left"/>
            </w:pPr>
            <w:r>
              <w:t xml:space="preserve">FIG. 7</w:t>
            </w:r>
          </w:p>
        </w:tc>
      </w:tr>
      <w:tr>
        <w:tc>
          <w:p>
            <w:pPr>
              <w:pStyle w:val="Compact"/>
              <w:jc w:val="left"/>
            </w:pPr>
            <w:r>
              <w:t xml:space="preserve">902</w:t>
            </w:r>
          </w:p>
        </w:tc>
        <w:tc>
          <w:p>
            <w:pPr>
              <w:pStyle w:val="Compact"/>
              <w:jc w:val="left"/>
            </w:pPr>
            <w:r>
              <w:t xml:space="preserve">compact execution cluster (the four units in one near-square block)</w:t>
            </w:r>
          </w:p>
        </w:tc>
        <w:tc>
          <w:p>
            <w:pPr>
              <w:pStyle w:val="Compact"/>
              <w:jc w:val="left"/>
            </w:pPr>
            <w:r>
              <w:t xml:space="preserve">FIG. 9</w:t>
            </w:r>
          </w:p>
        </w:tc>
      </w:tr>
      <w:tr>
        <w:tc>
          <w:p>
            <w:pPr>
              <w:pStyle w:val="Compact"/>
              <w:jc w:val="left"/>
            </w:pPr>
            <w:r>
              <w:t xml:space="preserve">904</w:t>
            </w:r>
          </w:p>
        </w:tc>
        <w:tc>
          <w:p>
            <w:pPr>
              <w:pStyle w:val="Compact"/>
              <w:jc w:val="left"/>
            </w:pPr>
            <w:r>
              <w:t xml:space="preserve">execution units as the slicing tiler’s high-aspect strips</w:t>
            </w:r>
          </w:p>
        </w:tc>
        <w:tc>
          <w:p>
            <w:pPr>
              <w:pStyle w:val="Compact"/>
              <w:jc w:val="left"/>
            </w:pPr>
            <w:r>
              <w:t xml:space="preserve">FIG. 9</w:t>
            </w:r>
          </w:p>
        </w:tc>
      </w:tr>
      <w:tr>
        <w:tc>
          <w:p>
            <w:pPr>
              <w:pStyle w:val="Compact"/>
              <w:jc w:val="left"/>
            </w:pPr>
            <w:r>
              <w:t xml:space="preserve">906</w:t>
            </w:r>
          </w:p>
        </w:tc>
        <w:tc>
          <w:p>
            <w:pPr>
              <w:pStyle w:val="Compact"/>
              <w:jc w:val="left"/>
            </w:pPr>
            <w:r>
              <w:t xml:space="preserve">execution units as DESIGNED fingers, interdigitated with scheduler / register-file logic at the tile pitch</w:t>
            </w:r>
          </w:p>
        </w:tc>
        <w:tc>
          <w:p>
            <w:pPr>
              <w:pStyle w:val="Compact"/>
              <w:jc w:val="left"/>
            </w:pPr>
            <w:r>
              <w:t xml:space="preserve">FIG. 3C, FIG. 9</w:t>
            </w:r>
          </w:p>
        </w:tc>
      </w:tr>
    </w:tbl>
    <w:p>
      <w:pPr>
        <w:pStyle w:val="BodyText"/>
      </w:pPr>
      <w:r>
        <w:rPr>
          <w:rStyle w:val="VerbatimChar"/>
        </w:rPr>
        <w:t xml:space="preserve">[!]</w:t>
      </w:r>
      <w:r>
        <w:t xml:space="preserve"> </w:t>
      </w:r>
      <w:r>
        <w:t xml:space="preserve">What the drawings do not show: a DYNAMIC rail model or a metal stack (402 is measured as a static-IR proportion, §P0.39); the isolating interface 620 as a built thing with vias through it (FIG. 6b is measured on its thermal side only) and the 2.5D form (FIG. 6c); a storage zone that saves net energy (it does not yet); the compact 16× unit at a grid that resolves it; the designed fingers with rails; and anything above 3.50 W/mm² on the reference die.</w:t>
      </w:r>
    </w:p>
    <w:p>
      <w:pPr>
        <w:pStyle w:val="Heading2"/>
      </w:pPr>
      <w:bookmarkStart w:id="57" w:name="experiments-run-for-this-memo"/>
      <w:r>
        <w:t xml:space="preserve">8. Experiments run for this memo</w:t>
      </w:r>
      <w:bookmarkEnd w:id="57"/>
    </w:p>
    <w:p>
      <w:pPr>
        <w:pStyle w:val="FirstParagraph"/>
      </w:pPr>
      <w:r>
        <w:rPr>
          <w:b/>
        </w:rPr>
        <w:t xml:space="preserve">The integration ladder (§P0.28, launched 12 Sep, 41 points on the allocation).</w:t>
      </w:r>
      <w:r>
        <w:t xml:space="preserve"> </w:t>
      </w:r>
      <w:r>
        <w:t xml:space="preserve">Burial depth 200 → 100 → 50 → 20 µm and tile pitch 500 / 200 µm on the reference die at 1.20, 2.00, 2.40, 2.60 and 3.00 W/mm², 100 µm grid, against the 100 µm reference at 200 µm / 500 µm. Predictions written before the run: the plan at 2.00 falls 10–25 % at 20 µm; 2.60 holds at ≤ 50 µm and 3.00 holds nowhere (conservation); pitch is inert at 200 µm burial and worth 10–20 % at 20 µm; the passive cliff does not move; the peak tile flux rises to 5–10 W/mm². Results in Section 8.1: P1–P3 falsified — the cost does not fall with integration. This is the measurement behind the Level 1 → Level 2 step of Section 7.</w:t>
      </w:r>
    </w:p>
    <w:p>
      <w:pPr>
        <w:pStyle w:val="BodyText"/>
      </w:pPr>
      <w:r>
        <w:rPr>
          <w:b/>
        </w:rPr>
        <w:t xml:space="preserve">The cooling-system ledger (§P0.30, 13 Sep, 60 control points).</w:t>
      </w:r>
      <w:r>
        <w:t xml:space="preserve"> </w:t>
      </w:r>
      <w:r>
        <w:t xml:space="preserve">See 4.11: the COP comparison the provisional’s &gt;10× rested on, re-run on the coupled solve — the answer is a curve against rescue depth with the air and liquid cases separated.</w:t>
      </w:r>
      <w:r>
        <w:t xml:space="preserve"> </w:t>
      </w:r>
      <w:r>
        <w:rPr>
          <w:b/>
        </w:rPr>
        <w:t xml:space="preserve">The dark-silicon correction (§P0.29, 13 Sep, 9 points).</w:t>
      </w:r>
      <w:r>
        <w:t xml:space="preserve"> </w:t>
      </w:r>
      <w:r>
        <w:t xml:space="preserve">The recorded</w:t>
      </w:r>
      <w:r>
        <w:t xml:space="preserve"> </w:t>
      </w:r>
      <w:r>
        <w:t xml:space="preserve">“</w:t>
      </w:r>
      <w:r>
        <w:t xml:space="preserve">runaway</w:t>
      </w:r>
      <w:r>
        <w:t xml:space="preserve">”</w:t>
      </w:r>
      <w:r>
        <w:t xml:space="preserve"> </w:t>
      </w:r>
      <w:r>
        <w:t xml:space="preserve">at 1.2 W/mm² / 25 % was an unfinished planner descent (holds for 0.8 W); the per-block envelope shape lowers every F2 cost (17.3 → 11.6 W at 1.2; 64.2 → 44 W at 1.5).</w:t>
      </w:r>
    </w:p>
    <w:p>
      <w:pPr>
        <w:pStyle w:val="BodyText"/>
      </w:pPr>
      <w:r>
        <w:rPr>
          <w:b/>
        </w:rPr>
        <w:t xml:space="preserve">The generalized f_max and the densified-cluster ladder (§P0.31–§P0.32, 13 Sep).</w:t>
      </w:r>
      <w:r>
        <w:t xml:space="preserve"> </w:t>
      </w:r>
      <w:r>
        <w:t xml:space="preserve">(a) A period model with wire, thermal skew (read from each solve) and setup/jitter, anchored once at the trace, with V_max from an Arrhenius reliability budget (EM Black n = 2 / 0.9 eV, TDDB power law n = 40 / 0.6 eV; the qualification point 0.77 V at 100 °C restated): at the 92 °C target the overdrive buys +1.6 % of clock, at 60 °C +8 %, at 27 °C +16 %; TDDB binds at every temperature below the corner; 10 GHz needs a 6–7 FO4 pipeline (</w:t>
      </w:r>
      <w:r>
        <w:rPr>
          <w:rStyle w:val="VerbatimChar"/>
        </w:rPr>
        <w:t xml:space="preserve">docs/evidence/fmax_model.json</w:t>
      </w:r>
      <w:r>
        <w:t xml:space="preserve">; the coupled search</w:t>
      </w:r>
      <w:r>
        <w:t xml:space="preserve"> </w:t>
      </w:r>
      <w:r>
        <w:rPr>
          <w:rStyle w:val="VerbatimChar"/>
        </w:rPr>
        <w:t xml:space="preserve">clock_fmax.json</w:t>
      </w:r>
      <w:r>
        <w:t xml:space="preserve">). (b) The 8× / 16× execution clusters (230 / 460 W/mm² cALUs) at 20 µm and 5 µm burial and 200 / 100 µm pitch, matched die watts, per-block shape: the 8× holds to 202 W everywhere, the 16× only at 100 µm pitch; the top rung is lost to conservation (coarse pitch) or to the dye’s cold end (fine pitch: tiles at 253–254 K asked for 170–200 W/mm²) — the first rows where the film binds; premium 1.8–1.9× over the reference at the same geometry; and the reference itself is 14–31 % cheaper at 5–20 µm burial than at 200 µm under this shape (</w:t>
      </w:r>
      <w:r>
        <w:rPr>
          <w:rStyle w:val="VerbatimChar"/>
        </w:rPr>
        <w:t xml:space="preserve">docs/evidence/cluster_transport.json</w:t>
      </w:r>
      <w:r>
        <w:t xml:space="preserve">).</w:t>
      </w:r>
    </w:p>
    <w:p>
      <w:pPr>
        <w:pStyle w:val="BodyText"/>
      </w:pPr>
      <w:r>
        <w:rPr>
          <w:b/>
        </w:rPr>
        <w:t xml:space="preserve">The cold-end wall and the compact cluster (§P0.35–§P0.36, 19 Sep; 55 points).</w:t>
      </w:r>
      <w:r>
        <w:t xml:space="preserve"> </w:t>
      </w:r>
      <w:r>
        <w:t xml:space="preserve">(a) The 8× / 16× top rungs under a cold-tolerant hot-zone material (whole array and as a dual layout over the execution column), under plain GaAs (fails: &lt; 1 W/mm²) and under the dye at 50 µm pitch (every row lost, 59–87 tiles capped): the 8×’s lost rung was the dye’s (243 W held at s 0.88–0.91, tile at 235–242 K, none capped), the 16×’s is not the material’s. (b) A compact-cluster floorplan family (</w:t>
      </w:r>
      <w:r>
        <w:rPr>
          <w:rStyle w:val="VerbatimChar"/>
        </w:rPr>
        <w:t xml:space="preserve">generate_exec_density_family.py --compact-cluster</w:t>
      </w:r>
      <w:r>
        <w:t xml:space="preserve">: the four execution units in one near-square block, same areas, powers and die area) against the tiler’s strips at identical geometry: compact is 0.85–1.04× the cost to 8× and gains the 243 W rung at 4× and 8×; at 16× it cannot be held past 121 W with nothing capped, with the 45 K lift removed and under either material — transport — while the strip (</w:t>
      </w:r>
      <w:r>
        <w:t xml:space="preserve">“</w:t>
      </w:r>
      <w:r>
        <w:t xml:space="preserve">finger</w:t>
      </w:r>
      <w:r>
        <w:t xml:space="preserve">”</w:t>
      </w:r>
      <w:r>
        <w:t xml:space="preserve">) layout holds 202 W. Claim consequence: the dense cluster’s shape and the hot-zone material are dependent limitations worth carrying (Section 6.6): a compact cluster to ~8× the conventional density under tiles at ~100–200 µm pitch; finger-shaped units aligned to the tile pitch beyond it; a hot-zone tile material whose capability does not fall on cooling over the cluster (</w:t>
      </w:r>
      <w:r>
        <w:rPr>
          <w:rStyle w:val="VerbatimChar"/>
        </w:rPr>
        <w:t xml:space="preserve">docs/evidence/cluster_coldend.json</w:t>
      </w:r>
      <w:r>
        <w:t xml:space="preserve">,</w:t>
      </w:r>
      <w:r>
        <w:t xml:space="preserve"> </w:t>
      </w:r>
      <w:r>
        <w:rPr>
          <w:rStyle w:val="VerbatimChar"/>
        </w:rPr>
        <w:t xml:space="preserve">compact_cluster.json</w:t>
      </w:r>
      <w:r>
        <w:t xml:space="preserve">).</w:t>
      </w:r>
    </w:p>
    <w:p>
      <w:pPr>
        <w:pStyle w:val="BodyText"/>
      </w:pPr>
      <w:r>
        <w:rPr>
          <w:b/>
        </w:rPr>
        <w:t xml:space="preserve">The two-sink stack, the designed fingers and the rail model (§P0.37–§P0.39, 19 Sep; 23 + 46 + 10 runs).</w:t>
      </w:r>
      <w:r>
        <w:t xml:space="preserve"> </w:t>
      </w:r>
      <w:r>
        <w:t xml:space="preserve">(a) The storage die on the compute die’s far face behind a 100 µm isolating interface with its own array and far-face sink (a new stack template; 3D-ICE’s bottom heat sink): 280 K for 10.9 / 13.7 / 26.2 / 75.1 W at 0.025 / 0.1 / 0.5 / 5 W/mK against 99.4 W sink-side, compute array at 0 W; no unpowered steady state without the far-face sink, and a better sink costs more; Cr:LiSAF 1.7 W short; laser 7.0 W for 2.78 W of leakage saved. A defect found on the way: the recorded cache-zone pattern also matched the 34 L2 branch-predictor blocks — the recorded plans did not move when corrected, the recorded zone maxima did. (b) A floorplan family with the execution units deliberately interdigitated with scheduler / register-file logic (</w:t>
      </w:r>
      <w:r>
        <w:rPr>
          <w:rStyle w:val="VerbatimChar"/>
        </w:rPr>
        <w:t xml:space="preserve">--finger-cluster</w:t>
      </w:r>
      <w:r>
        <w:t xml:space="preserve">), at 16× and 32× beside the strip and compact members: every rung to 243 W in both, 0.74–0.79× the strips’ plan; the compact 16× gains one rung only under a 50 µm tile of a cold-tolerant film. (c) A static rail model in the clock search: Section 6.6. Eighteen predictions written first; ten falsified or not as predicted, recorded in</w:t>
      </w:r>
      <w:r>
        <w:t xml:space="preserve"> </w:t>
      </w:r>
      <w:r>
        <w:rPr>
          <w:rStyle w:val="VerbatimChar"/>
        </w:rPr>
        <w:t xml:space="preserve">PHASE0_CHECKLIST.md</w:t>
      </w:r>
      <w:r>
        <w:t xml:space="preserve"> </w:t>
      </w:r>
      <w:r>
        <w:t xml:space="preserve">§P0.37–§P0.39.</w:t>
      </w:r>
    </w:p>
    <w:p>
      <w:pPr>
        <w:pStyle w:val="BodyText"/>
      </w:pPr>
      <w:r>
        <w:rPr>
          <w:b/>
        </w:rPr>
        <w:t xml:space="preserve">When does a cold memory zone pay? (§P0.40, §P0.42, 19–20 Sep.)</w:t>
      </w:r>
      <w:r>
        <w:t xml:space="preserve"> </w:t>
      </w:r>
      <w:r>
        <w:t xml:space="preserve">A power-model sweep on the reference die: the zone’s leakage density is set by the memory’s cell class (high-performance cells 0.40 W/mm², low-standby-power cells 0.0006), by channel length (3.3× without long-channel devices) and steeply by the temperature it would otherwise sit at (3.2× at 360 K, 9.6× at 380 K); capacity (16–128 MB) leaves the density unchanged. Against the measured two-sink ledger the zone pays at roughly 2.5–3× the recorded point — that is, for fast memory beside a hot compute die, and not for low-leakage arrays at 50 °C. ARGUED until the stack is re-run at those inputs. Separately, with the reference die’s caches re-modelled as low-leakage cells the rescue plan at matched activity is unchanged to ±3 % — the rescue results do not depend on this question.</w:t>
      </w:r>
    </w:p>
    <w:p>
      <w:pPr>
        <w:pStyle w:val="BodyText"/>
      </w:pPr>
      <w:r>
        <w:rPr>
          <w:b/>
        </w:rPr>
        <w:t xml:space="preserve">Recommended next experiments (not run):</w:t>
      </w:r>
      <w:r>
        <w:t xml:space="preserve"> </w:t>
      </w:r>
      <w:r>
        <w:t xml:space="preserve">a two-die planner (separate envelope scalars) so the combined 92 °C / 280 K point is measured at the better isolations; the storage zone’s target and material swept (285–295 K; Cr:LiSAF is 1.7 W short at 280 K); a via-field conductance in the isolating interface; the designed finger cluster with rails, and a dynamic (L·di/dt) rail term; the anticipatory (predictor-driven) form of burst modulation against the feed-forward form; a second workload class.</w:t>
      </w:r>
    </w:p>
    <w:p>
      <w:pPr>
        <w:pStyle w:val="Heading3"/>
      </w:pPr>
      <w:bookmarkStart w:id="58" w:name="X3cf1177346fd9d00a85ca42d28b3524fad73c3b"/>
      <w:r>
        <w:t xml:space="preserve">8.1 Integration-ladder results (landed 12 Sep;</w:t>
      </w:r>
      <w:r>
        <w:t xml:space="preserve"> </w:t>
      </w:r>
      <w:r>
        <w:rPr>
          <w:rStyle w:val="VerbatimChar"/>
        </w:rPr>
        <w:t xml:space="preserve">figures/fig_integration_ladder.png</w:t>
      </w:r>
      <w:r>
        <w:t xml:space="preserve">,</w:t>
      </w:r>
      <w:r>
        <w:t xml:space="preserve"> </w:t>
      </w:r>
      <w:r>
        <w:rPr>
          <w:rStyle w:val="VerbatimChar"/>
        </w:rPr>
        <w:t xml:space="preserve">results/integration_ladder.json</w:t>
      </w:r>
      <w:r>
        <w:t xml:space="preserve">)</w:t>
      </w:r>
      <w:bookmarkEnd w:id="58"/>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burial above the transistors</w:t>
            </w:r>
          </w:p>
        </w:tc>
        <w:tc>
          <w:tcPr>
            <w:tcBorders>
              <w:bottom w:val="single"/>
            </w:tcBorders>
            <w:vAlign w:val="bottom"/>
          </w:tcPr>
          <w:p>
            <w:pPr>
              <w:pStyle w:val="Compact"/>
              <w:jc w:val="left"/>
            </w:pPr>
            <w:r>
              <w:t xml:space="preserve">tile pitch</w:t>
            </w:r>
          </w:p>
        </w:tc>
        <w:tc>
          <w:tcPr>
            <w:tcBorders>
              <w:bottom w:val="single"/>
            </w:tcBorders>
            <w:vAlign w:val="bottom"/>
          </w:tcPr>
          <w:p>
            <w:pPr>
              <w:pStyle w:val="Compact"/>
              <w:jc w:val="left"/>
            </w:pPr>
            <w:r>
              <w:t xml:space="preserve">plan at 2.00 W/mm²</w:t>
            </w:r>
          </w:p>
        </w:tc>
        <w:tc>
          <w:tcPr>
            <w:tcBorders>
              <w:bottom w:val="single"/>
            </w:tcBorders>
            <w:vAlign w:val="bottom"/>
          </w:tcPr>
          <w:p>
            <w:pPr>
              <w:pStyle w:val="Compact"/>
              <w:jc w:val="left"/>
            </w:pPr>
            <w:r>
              <w:t xml:space="preserve">2.40</w:t>
            </w:r>
          </w:p>
        </w:tc>
        <w:tc>
          <w:tcPr>
            <w:tcBorders>
              <w:bottom w:val="single"/>
            </w:tcBorders>
            <w:vAlign w:val="bottom"/>
          </w:tcPr>
          <w:p>
            <w:pPr>
              <w:pStyle w:val="Compact"/>
              <w:jc w:val="left"/>
            </w:pPr>
            <w:r>
              <w:t xml:space="preserve">2.60</w:t>
            </w:r>
          </w:p>
        </w:tc>
        <w:tc>
          <w:tcPr>
            <w:tcBorders>
              <w:bottom w:val="single"/>
            </w:tcBorders>
            <w:vAlign w:val="bottom"/>
          </w:tcPr>
          <w:p>
            <w:pPr>
              <w:pStyle w:val="Compact"/>
              <w:jc w:val="left"/>
            </w:pPr>
            <w:r>
              <w:t xml:space="preserve">3.00</w:t>
            </w:r>
          </w:p>
        </w:tc>
      </w:tr>
      <w:tr>
        <w:tc>
          <w:p>
            <w:pPr>
              <w:pStyle w:val="Compact"/>
              <w:jc w:val="left"/>
            </w:pPr>
            <w:r>
              <w:t xml:space="preserve">200 µm (the decoupled cold plate; reference)</w:t>
            </w:r>
          </w:p>
        </w:tc>
        <w:tc>
          <w:p>
            <w:pPr>
              <w:pStyle w:val="Compact"/>
              <w:jc w:val="left"/>
            </w:pPr>
            <w:r>
              <w:t xml:space="preserve">500 µm</w:t>
            </w:r>
          </w:p>
        </w:tc>
        <w:tc>
          <w:p>
            <w:pPr>
              <w:pStyle w:val="Compact"/>
              <w:jc w:val="left"/>
            </w:pPr>
            <w:r>
              <w:rPr>
                <w:b/>
              </w:rPr>
              <w:t xml:space="preserve">126 W</w:t>
            </w:r>
          </w:p>
        </w:tc>
        <w:tc>
          <w:p>
            <w:pPr>
              <w:pStyle w:val="Compact"/>
              <w:jc w:val="left"/>
            </w:pPr>
            <w:r>
              <w:t xml:space="preserve">205</w:t>
            </w:r>
          </w:p>
        </w:tc>
        <w:tc>
          <w:p>
            <w:pPr>
              <w:pStyle w:val="Compact"/>
              <w:jc w:val="left"/>
            </w:pPr>
            <w:r>
              <w:t xml:space="preserve">233</w:t>
            </w:r>
          </w:p>
        </w:tc>
        <w:tc>
          <w:p>
            <w:pPr>
              <w:pStyle w:val="Compact"/>
              <w:jc w:val="left"/>
            </w:pPr>
            <w:r>
              <w:t xml:space="preserve">no steady state</w:t>
            </w:r>
          </w:p>
        </w:tc>
      </w:tr>
      <w:tr>
        <w:tc>
          <w:p>
            <w:pPr>
              <w:pStyle w:val="Compact"/>
              <w:jc w:val="left"/>
            </w:pPr>
            <w:r>
              <w:t xml:space="preserve">200 µm</w:t>
            </w:r>
          </w:p>
        </w:tc>
        <w:tc>
          <w:p>
            <w:pPr>
              <w:pStyle w:val="Compact"/>
              <w:jc w:val="left"/>
            </w:pPr>
            <w:r>
              <w:t xml:space="preserve">200 µm</w:t>
            </w:r>
          </w:p>
        </w:tc>
        <w:tc>
          <w:p>
            <w:pPr>
              <w:pStyle w:val="Compact"/>
              <w:jc w:val="left"/>
            </w:pPr>
            <w:r>
              <w:t xml:space="preserve">121</w:t>
            </w:r>
          </w:p>
        </w:tc>
        <w:tc>
          <w:p>
            <w:pPr>
              <w:pStyle w:val="Compact"/>
              <w:jc w:val="left"/>
            </w:pPr>
            <w:r>
              <w:t xml:space="preserve">197</w:t>
            </w:r>
          </w:p>
        </w:tc>
        <w:tc>
          <w:p>
            <w:pPr>
              <w:pStyle w:val="Compact"/>
              <w:jc w:val="left"/>
            </w:pPr>
            <w:r>
              <w:t xml:space="preserve">233</w:t>
            </w:r>
          </w:p>
        </w:tc>
        <w:tc>
          <w:p>
            <w:pPr>
              <w:pStyle w:val="Compact"/>
              <w:jc w:val="left"/>
            </w:pPr>
            <w:r>
              <w:t xml:space="preserve">no steady state</w:t>
            </w:r>
          </w:p>
        </w:tc>
      </w:tr>
      <w:tr>
        <w:tc>
          <w:p>
            <w:pPr>
              <w:pStyle w:val="Compact"/>
              <w:jc w:val="left"/>
            </w:pPr>
            <w:r>
              <w:t xml:space="preserve">100 µm</w:t>
            </w:r>
          </w:p>
        </w:tc>
        <w:tc>
          <w:p>
            <w:pPr>
              <w:pStyle w:val="Compact"/>
              <w:jc w:val="left"/>
            </w:pPr>
            <w:r>
              <w:t xml:space="preserve">500 µm</w:t>
            </w:r>
          </w:p>
        </w:tc>
        <w:tc>
          <w:p>
            <w:pPr>
              <w:pStyle w:val="Compact"/>
              <w:jc w:val="left"/>
            </w:pPr>
            <w:r>
              <w:rPr>
                <w:b/>
              </w:rPr>
              <w:t xml:space="preserve">113</w:t>
            </w:r>
          </w:p>
        </w:tc>
        <w:tc>
          <w:p>
            <w:pPr>
              <w:pStyle w:val="Compact"/>
              <w:jc w:val="left"/>
            </w:pPr>
            <w:r>
              <w:t xml:space="preserve">183</w:t>
            </w:r>
          </w:p>
        </w:tc>
        <w:tc>
          <w:p>
            <w:pPr>
              <w:pStyle w:val="Compact"/>
              <w:jc w:val="left"/>
            </w:pPr>
            <w:r>
              <w:t xml:space="preserve">215</w:t>
            </w:r>
          </w:p>
        </w:tc>
        <w:tc>
          <w:p>
            <w:pPr>
              <w:pStyle w:val="Compact"/>
              <w:jc w:val="left"/>
            </w:pPr>
            <w:r>
              <w:rPr>
                <w:b/>
              </w:rPr>
              <w:t xml:space="preserve">289 W, held</w:t>
            </w:r>
          </w:p>
        </w:tc>
      </w:tr>
      <w:tr>
        <w:tc>
          <w:p>
            <w:pPr>
              <w:pStyle w:val="Compact"/>
              <w:jc w:val="left"/>
            </w:pPr>
            <w:r>
              <w:t xml:space="preserve">100 µm</w:t>
            </w:r>
          </w:p>
        </w:tc>
        <w:tc>
          <w:p>
            <w:pPr>
              <w:pStyle w:val="Compact"/>
              <w:jc w:val="left"/>
            </w:pPr>
            <w:r>
              <w:t xml:space="preserve">200 µm</w:t>
            </w:r>
          </w:p>
        </w:tc>
        <w:tc>
          <w:p>
            <w:pPr>
              <w:pStyle w:val="Compact"/>
              <w:jc w:val="left"/>
            </w:pPr>
            <w:r>
              <w:t xml:space="preserve">115</w:t>
            </w:r>
          </w:p>
        </w:tc>
        <w:tc>
          <w:p>
            <w:pPr>
              <w:pStyle w:val="Compact"/>
              <w:jc w:val="left"/>
            </w:pPr>
            <w:r>
              <w:t xml:space="preserve">183</w:t>
            </w:r>
          </w:p>
        </w:tc>
        <w:tc>
          <w:p>
            <w:pPr>
              <w:pStyle w:val="Compact"/>
              <w:jc w:val="left"/>
            </w:pPr>
            <w:r>
              <w:t xml:space="preserve">215</w:t>
            </w:r>
          </w:p>
        </w:tc>
        <w:tc>
          <w:p>
            <w:pPr>
              <w:pStyle w:val="Compact"/>
              <w:jc w:val="left"/>
            </w:pPr>
            <w:r>
              <w:t xml:space="preserve">271, held</w:t>
            </w:r>
          </w:p>
        </w:tc>
      </w:tr>
      <w:tr>
        <w:tc>
          <w:p>
            <w:pPr>
              <w:pStyle w:val="Compact"/>
              <w:jc w:val="left"/>
            </w:pPr>
            <w:r>
              <w:t xml:space="preserve">50 µm</w:t>
            </w:r>
          </w:p>
        </w:tc>
        <w:tc>
          <w:p>
            <w:pPr>
              <w:pStyle w:val="Compact"/>
              <w:jc w:val="left"/>
            </w:pPr>
            <w:r>
              <w:t xml:space="preserve">500 µm</w:t>
            </w:r>
          </w:p>
        </w:tc>
        <w:tc>
          <w:p>
            <w:pPr>
              <w:pStyle w:val="Compact"/>
              <w:jc w:val="left"/>
            </w:pPr>
            <w:r>
              <w:t xml:space="preserve">119</w:t>
            </w:r>
          </w:p>
        </w:tc>
        <w:tc>
          <w:p>
            <w:pPr>
              <w:pStyle w:val="Compact"/>
              <w:jc w:val="left"/>
            </w:pPr>
            <w:r>
              <w:t xml:space="preserve">191</w:t>
            </w:r>
          </w:p>
        </w:tc>
        <w:tc>
          <w:p>
            <w:pPr>
              <w:pStyle w:val="Compact"/>
              <w:jc w:val="left"/>
            </w:pPr>
            <w:r>
              <w:t xml:space="preserve">228</w:t>
            </w:r>
          </w:p>
        </w:tc>
        <w:tc>
          <w:p>
            <w:pPr>
              <w:pStyle w:val="Compact"/>
              <w:jc w:val="left"/>
            </w:pPr>
            <w:r>
              <w:t xml:space="preserve">hot branch, not held</w:t>
            </w:r>
          </w:p>
        </w:tc>
      </w:tr>
      <w:tr>
        <w:tc>
          <w:p>
            <w:pPr>
              <w:pStyle w:val="Compact"/>
              <w:jc w:val="left"/>
            </w:pPr>
            <w:r>
              <w:t xml:space="preserve">50 µm</w:t>
            </w:r>
          </w:p>
        </w:tc>
        <w:tc>
          <w:p>
            <w:pPr>
              <w:pStyle w:val="Compact"/>
              <w:jc w:val="left"/>
            </w:pPr>
            <w:r>
              <w:t xml:space="preserve">200 µm</w:t>
            </w:r>
          </w:p>
        </w:tc>
        <w:tc>
          <w:p>
            <w:pPr>
              <w:pStyle w:val="Compact"/>
              <w:jc w:val="left"/>
            </w:pPr>
            <w:r>
              <w:t xml:space="preserve">114</w:t>
            </w:r>
          </w:p>
        </w:tc>
        <w:tc>
          <w:p>
            <w:pPr>
              <w:pStyle w:val="Compact"/>
              <w:jc w:val="left"/>
            </w:pPr>
            <w:r>
              <w:t xml:space="preserve">181</w:t>
            </w:r>
          </w:p>
        </w:tc>
        <w:tc>
          <w:p>
            <w:pPr>
              <w:pStyle w:val="Compact"/>
              <w:jc w:val="left"/>
            </w:pPr>
            <w:r>
              <w:t xml:space="preserve">213</w:t>
            </w:r>
          </w:p>
        </w:tc>
        <w:tc>
          <w:p>
            <w:pPr>
              <w:pStyle w:val="Compact"/>
              <w:jc w:val="left"/>
            </w:pPr>
            <w:r>
              <w:t xml:space="preserve">278, held</w:t>
            </w:r>
          </w:p>
        </w:tc>
      </w:tr>
      <w:tr>
        <w:tc>
          <w:p>
            <w:pPr>
              <w:pStyle w:val="Compact"/>
              <w:jc w:val="left"/>
            </w:pPr>
            <w:r>
              <w:t xml:space="preserve">20 µm (die-integrated)</w:t>
            </w:r>
          </w:p>
        </w:tc>
        <w:tc>
          <w:p>
            <w:pPr>
              <w:pStyle w:val="Compact"/>
              <w:jc w:val="left"/>
            </w:pPr>
            <w:r>
              <w:t xml:space="preserve">500 µm</w:t>
            </w:r>
          </w:p>
        </w:tc>
        <w:tc>
          <w:p>
            <w:pPr>
              <w:pStyle w:val="Compact"/>
              <w:jc w:val="left"/>
            </w:pPr>
            <w:r>
              <w:rPr>
                <w:b/>
              </w:rPr>
              <w:t xml:space="preserve">131</w:t>
            </w:r>
          </w:p>
        </w:tc>
        <w:tc>
          <w:p>
            <w:pPr>
              <w:pStyle w:val="Compact"/>
              <w:jc w:val="left"/>
            </w:pPr>
            <w:r>
              <w:t xml:space="preserve">209</w:t>
            </w:r>
          </w:p>
        </w:tc>
        <w:tc>
          <w:p>
            <w:pPr>
              <w:pStyle w:val="Compact"/>
              <w:jc w:val="left"/>
            </w:pPr>
            <w:r>
              <w:t xml:space="preserve">243</w:t>
            </w:r>
          </w:p>
        </w:tc>
        <w:tc>
          <w:p>
            <w:pPr>
              <w:pStyle w:val="Compact"/>
              <w:jc w:val="left"/>
            </w:pPr>
            <w:r>
              <w:t xml:space="preserve">no steady state</w:t>
            </w:r>
          </w:p>
        </w:tc>
      </w:tr>
      <w:tr>
        <w:tc>
          <w:p>
            <w:pPr>
              <w:pStyle w:val="Compact"/>
              <w:jc w:val="left"/>
            </w:pPr>
            <w:r>
              <w:t xml:space="preserve">20 µm</w:t>
            </w:r>
          </w:p>
        </w:tc>
        <w:tc>
          <w:p>
            <w:pPr>
              <w:pStyle w:val="Compact"/>
              <w:jc w:val="left"/>
            </w:pPr>
            <w:r>
              <w:t xml:space="preserve">200 µm</w:t>
            </w:r>
          </w:p>
        </w:tc>
        <w:tc>
          <w:p>
            <w:pPr>
              <w:pStyle w:val="Compact"/>
              <w:jc w:val="left"/>
            </w:pPr>
            <w:r>
              <w:t xml:space="preserve">122</w:t>
            </w:r>
          </w:p>
        </w:tc>
        <w:tc>
          <w:p>
            <w:pPr>
              <w:pStyle w:val="Compact"/>
              <w:jc w:val="left"/>
            </w:pPr>
            <w:r>
              <w:t xml:space="preserve">200</w:t>
            </w:r>
          </w:p>
        </w:tc>
        <w:tc>
          <w:p>
            <w:pPr>
              <w:pStyle w:val="Compact"/>
              <w:jc w:val="left"/>
            </w:pPr>
            <w:r>
              <w:t xml:space="preserve">227</w:t>
            </w:r>
          </w:p>
        </w:tc>
        <w:tc>
          <w:p>
            <w:pPr>
              <w:pStyle w:val="Compact"/>
              <w:jc w:val="left"/>
            </w:pPr>
            <w:r>
              <w:t xml:space="preserve">hot branch, not held</w:t>
            </w:r>
          </w:p>
        </w:tc>
      </w:tr>
    </w:tbl>
    <w:p>
      <w:pPr>
        <w:pStyle w:val="BodyText"/>
      </w:pPr>
      <w:r>
        <w:rPr>
          <w:b/>
        </w:rPr>
        <w:t xml:space="preserve">Superseded in part on 13 Sep (§P0.32): this ladder ran the planner’s uniform</w:t>
      </w:r>
      <w:r>
        <w:rPr>
          <w:b/>
        </w:rPr>
        <w:t xml:space="preserve"> </w:t>
      </w:r>
      <w:r>
        <w:rPr>
          <w:b/>
        </w:rPr>
        <w:t xml:space="preserve">“</w:t>
      </w:r>
      <w:r>
        <w:rPr>
          <w:b/>
        </w:rPr>
        <w:t xml:space="preserve">seed</w:t>
      </w:r>
      <w:r>
        <w:rPr>
          <w:b/>
        </w:rPr>
        <w:t xml:space="preserve">”</w:t>
      </w:r>
      <w:r>
        <w:rPr>
          <w:b/>
        </w:rPr>
        <w:t xml:space="preserve"> </w:t>
      </w:r>
      <w:r>
        <w:rPr>
          <w:b/>
        </w:rPr>
        <w:t xml:space="preserve">envelope shape; under the per-block shape the reference’s plans at 20 µm and 5 µm burial are 14–31 % BELOW the 200 µm-burial plans (202 W: 78–97 W against 114; 243 W: 139–160 against 177, at 100–200 µm pitch), so the</w:t>
      </w:r>
      <w:r>
        <w:rPr>
          <w:b/>
        </w:rPr>
        <w:t xml:space="preserve"> </w:t>
      </w:r>
      <w:r>
        <w:rPr>
          <w:b/>
        </w:rPr>
        <w:t xml:space="preserve">“</w:t>
      </w:r>
      <w:r>
        <w:rPr>
          <w:b/>
        </w:rPr>
        <w:t xml:space="preserve">no thermal advantage from integration</w:t>
      </w:r>
      <w:r>
        <w:rPr>
          <w:b/>
        </w:rPr>
        <w:t xml:space="preserve">”</w:t>
      </w:r>
      <w:r>
        <w:rPr>
          <w:b/>
        </w:rPr>
        <w:t xml:space="preserve"> </w:t>
      </w:r>
      <w:r>
        <w:rPr>
          <w:b/>
        </w:rPr>
        <w:t xml:space="preserve">reading below is the seed planner’s, not the die’s. The structural reading (claim the decoupled form as an embodiment) stands.</w:t>
      </w:r>
    </w:p>
    <w:p>
      <w:pPr>
        <w:pStyle w:val="BodyText"/>
      </w:pPr>
      <w:r>
        <w:rPr>
          <w:b/>
        </w:rPr>
        <w:t xml:space="preserve">What it says (seed shape, as run).</w:t>
      </w:r>
      <w:r>
        <w:t xml:space="preserve"> </w:t>
      </w:r>
      <w:r>
        <w:t xml:space="preserve">The rescue cost is insensitive to how close the tiles sit to the transistors: from the decoupled cold plate (200 µm of silicon between tiles and active layer) to a die-integrated array (20 µm) the plan at 2.00 W/mm² moves within ±10 %, with a shallow optimum near 100 µm, and thinning to 20 µm is</w:t>
      </w:r>
      <w:r>
        <w:t xml:space="preserve"> </w:t>
      </w:r>
      <w:r>
        <w:rPr>
          <w:i/>
        </w:rPr>
        <w:t xml:space="preserve">worse</w:t>
      </w:r>
      <w:r>
        <w:t xml:space="preserve"> </w:t>
      </w:r>
      <w:r>
        <w:t xml:space="preserve">by 4 % at 500 µm pitch. Finer pitch is worth 4 % at 200 µm burial and 7 % at 20 µm. The top rung is highest at intermediate burial (3.00 W/mm² holds at 100 µm and at 50 µm with 200 µm tiles; it has no steady state at 200 µm and at 20 µm with 500 µm tiles): thin enough for the tiles to reach the hot spots, thick enough to spread them. The maximum tile demand is set by the tile area and the rung, not by burial (5 W/mm² at 500 µm pitch, 8 at 200 µm at 2.00; 14.8 W/mm² at 3.00 with 200 µm tiles, the highest steady demand simulated, 55× under the film). The unpowered array diverges at 1.20 W/mm² at every burial: thinning the die moves nothing on the passive side; the rescue is the laser’s. Predictions P1–P3 (a monotone fall in cost with integration) were falsified; P4 and P5 confirmed.</w:t>
      </w:r>
    </w:p>
    <w:p>
      <w:pPr>
        <w:pStyle w:val="BodyText"/>
      </w:pPr>
      <w:r>
        <w:rPr>
          <w:b/>
        </w:rPr>
        <w:t xml:space="preserve">Implication for the claims.</w:t>
      </w:r>
      <w:r>
        <w:t xml:space="preserve"> </w:t>
      </w:r>
      <w:r>
        <w:t xml:space="preserve">The decoupled cold plate on a standard-thickness direct-die part is not a compromised form of the invention; on this floorplan it is within 10 % of the fully integrated array in cost and holds the same rungs. That supports claiming the decoupled form factor as the primary embodiment, with package and die integration claimed for what they enable</w:t>
      </w:r>
      <w:r>
        <w:t xml:space="preserve"> </w:t>
      </w:r>
      <w:r>
        <w:rPr>
          <w:i/>
        </w:rPr>
        <w:t xml:space="preserve">structurally</w:t>
      </w:r>
      <w:r>
        <w:t xml:space="preserve"> </w:t>
      </w:r>
      <w:r>
        <w:t xml:space="preserve">(the two-sided stack of Section 6.7, the density co-design of Section 6.6, finer pitch where the silicon spreads less) rather than for a thermal advantage the simulations do not show. Caveats: 100 µm grid; the 3.00 W/mm² rows are under the injected energy cap; the planner’s envelope shape is the uniform seed shape —</w:t>
      </w:r>
      <w:r>
        <w:t xml:space="preserve"> </w:t>
      </w:r>
      <w:r>
        <w:rPr>
          <w:b/>
        </w:rPr>
        <w:t xml:space="preserve">and the per-block shape does favour shallow burial and finer pitch (measured 13 Sep, §P0.32: −14 to −31 % at 5–20 µm), so</w:t>
      </w:r>
      <w:r>
        <w:rPr>
          <w:b/>
        </w:rPr>
        <w:t xml:space="preserve"> </w:t>
      </w:r>
      <w:r>
        <w:rPr>
          <w:b/>
        </w:rPr>
        <w:t xml:space="preserve">“</w:t>
      </w:r>
      <w:r>
        <w:rPr>
          <w:b/>
        </w:rPr>
        <w:t xml:space="preserve">within 10 %</w:t>
      </w:r>
      <w:r>
        <w:rPr>
          <w:b/>
        </w:rPr>
        <w:t xml:space="preserve">”</w:t>
      </w:r>
      <w:r>
        <w:rPr>
          <w:b/>
        </w:rPr>
        <w:t xml:space="preserve"> </w:t>
      </w:r>
      <w:r>
        <w:rPr>
          <w:b/>
        </w:rPr>
        <w:t xml:space="preserve">is withdrawn as a thermal statement; the decoupled form should be claimed as an embodiment, not as cost-equivalent.</w:t>
      </w:r>
    </w:p>
    <w:p>
      <w:pPr>
        <w:pStyle w:val="CaptionedFigure"/>
      </w:pPr>
      <w:r>
        <w:drawing>
          <wp:inline>
            <wp:extent cx="5334000" cy="2227202"/>
            <wp:effectExtent b="0" l="0" r="0" t="0"/>
            <wp:docPr descr="Figure 8.1 — The integration ladder: rescue cost and top rung versus burial depth and tile pitch (100 µm grid)." title="" id="1" name="Picture"/>
            <a:graphic>
              <a:graphicData uri="http://schemas.openxmlformats.org/drawingml/2006/picture">
                <pic:pic>
                  <pic:nvPicPr>
                    <pic:cNvPr descr="figures/fig_integration_ladder.png" id="0" name="Picture"/>
                    <pic:cNvPicPr>
                      <a:picLocks noChangeArrowheads="1" noChangeAspect="1"/>
                    </pic:cNvPicPr>
                  </pic:nvPicPr>
                  <pic:blipFill>
                    <a:blip r:embed="rId59"/>
                    <a:stretch>
                      <a:fillRect/>
                    </a:stretch>
                  </pic:blipFill>
                  <pic:spPr bwMode="auto">
                    <a:xfrm>
                      <a:off x="0" y="0"/>
                      <a:ext cx="5334000" cy="2227202"/>
                    </a:xfrm>
                    <a:prstGeom prst="rect">
                      <a:avLst/>
                    </a:prstGeom>
                    <a:noFill/>
                    <a:ln w="9525">
                      <a:noFill/>
                      <a:headEnd/>
                      <a:tailEnd/>
                    </a:ln>
                  </pic:spPr>
                </pic:pic>
              </a:graphicData>
            </a:graphic>
          </wp:inline>
        </w:drawing>
      </w:r>
    </w:p>
    <w:p>
      <w:pPr>
        <w:pStyle w:val="ImageCaption"/>
      </w:pPr>
      <w:r>
        <w:t xml:space="preserve">Figure 8.1 — The integration ladder: rescue cost and top rung versus burial depth and tile pitch (100 µm grid).</w:t>
      </w:r>
    </w:p>
    <w:p>
      <w:r>
        <w:pict>
          <v:rect style="width:0;height:1.5pt" o:hralign="center" o:hrstd="t" o:hr="t"/>
        </w:pict>
      </w:r>
    </w:p>
    <w:p>
      <w:pPr>
        <w:pStyle w:val="Heading3"/>
      </w:pPr>
      <w:bookmarkStart w:id="60" w:name="X93f087a2c6f92c4e1b702eea634925bb7274b78"/>
      <w:r>
        <w:t xml:space="preserve">8.2 The memory die, three placements (landed 27 Oct;</w:t>
      </w:r>
      <w:r>
        <w:t xml:space="preserve"> </w:t>
      </w:r>
      <w:r>
        <w:rPr>
          <w:rStyle w:val="VerbatimChar"/>
        </w:rPr>
        <w:t xml:space="preserve">results/memory_die.json</w:t>
      </w:r>
      <w:r>
        <w:t xml:space="preserve">, FIG. 10)</w:t>
      </w:r>
      <w:bookmarkEnd w:id="60"/>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placement, 2.00 W/mm², 8 × 3 W, reference plan 126.1 W</w:t>
            </w:r>
          </w:p>
        </w:tc>
        <w:tc>
          <w:tcPr>
            <w:tcBorders>
              <w:bottom w:val="single"/>
            </w:tcBorders>
            <w:vAlign w:val="bottom"/>
          </w:tcPr>
          <w:p>
            <w:pPr>
              <w:pStyle w:val="Compact"/>
              <w:jc w:val="left"/>
            </w:pPr>
            <w:r>
              <w:t xml:space="preserve">plan</w:t>
            </w:r>
          </w:p>
        </w:tc>
        <w:tc>
          <w:tcPr>
            <w:tcBorders>
              <w:bottom w:val="single"/>
            </w:tcBorders>
            <w:vAlign w:val="bottom"/>
          </w:tcPr>
          <w:p>
            <w:pPr>
              <w:pStyle w:val="Compact"/>
              <w:jc w:val="left"/>
            </w:pPr>
            <w:r>
              <w:t xml:space="preserve">banks (mean / max)</w:t>
            </w:r>
          </w:p>
        </w:tc>
        <w:tc>
          <w:tcPr>
            <w:tcBorders>
              <w:bottom w:val="single"/>
            </w:tcBorders>
            <w:vAlign w:val="bottom"/>
          </w:tcPr>
          <w:p>
            <w:pPr>
              <w:pStyle w:val="Compact"/>
              <w:jc w:val="left"/>
            </w:pPr>
            <w:r>
              <w:t xml:space="preserve">Δ plan</w:t>
            </w:r>
          </w:p>
        </w:tc>
      </w:tr>
      <w:tr>
        <w:tc>
          <w:p>
            <w:pPr>
              <w:pStyle w:val="Compact"/>
              <w:jc w:val="left"/>
            </w:pPr>
            <w:r>
              <w:t xml:space="preserve">beside (2.5D), gap 0.5 / 1 / 2 mm</w:t>
            </w:r>
          </w:p>
        </w:tc>
        <w:tc>
          <w:p>
            <w:pPr>
              <w:pStyle w:val="Compact"/>
              <w:jc w:val="left"/>
            </w:pPr>
            <w:r>
              <w:t xml:space="preserve">123.2 / 123.0 / 122.9 W</w:t>
            </w:r>
          </w:p>
        </w:tc>
        <w:tc>
          <w:p>
            <w:pPr>
              <w:pStyle w:val="Compact"/>
              <w:jc w:val="left"/>
            </w:pPr>
            <w:r>
              <w:t xml:space="preserve">28 / 30 · 28 / 29 · 27 / 28 °C</w:t>
            </w:r>
          </w:p>
        </w:tc>
        <w:tc>
          <w:p>
            <w:pPr>
              <w:pStyle w:val="Compact"/>
              <w:jc w:val="left"/>
            </w:pPr>
            <w:r>
              <w:t xml:space="preserve">−2.5 %</w:t>
            </w:r>
          </w:p>
        </w:tc>
      </w:tr>
      <w:tr>
        <w:tc>
          <w:p>
            <w:pPr>
              <w:pStyle w:val="Compact"/>
              <w:jc w:val="left"/>
            </w:pPr>
            <w:r>
              <w:t xml:space="preserve">far face, via field (k_eff 0.85), far-face sink 1 / 3 / 10 K/W</w:t>
            </w:r>
          </w:p>
        </w:tc>
        <w:tc>
          <w:p>
            <w:pPr>
              <w:pStyle w:val="Compact"/>
              <w:jc w:val="left"/>
            </w:pPr>
            <w:r>
              <w:t xml:space="preserve">120.0 / 132.4 / 141.6 W</w:t>
            </w:r>
          </w:p>
        </w:tc>
        <w:tc>
          <w:p>
            <w:pPr>
              <w:pStyle w:val="Compact"/>
              <w:jc w:val="left"/>
            </w:pPr>
            <w:r>
              <w:t xml:space="preserve">45 / 47 · 56 / 59 · 63 / 67 °C</w:t>
            </w:r>
          </w:p>
        </w:tc>
        <w:tc>
          <w:p>
            <w:pPr>
              <w:pStyle w:val="Compact"/>
              <w:jc w:val="left"/>
            </w:pPr>
            <w:r>
              <w:t xml:space="preserve">−6 / +6 / +16 W</w:t>
            </w:r>
          </w:p>
        </w:tc>
      </w:tr>
      <w:tr>
        <w:tc>
          <w:p>
            <w:pPr>
              <w:pStyle w:val="Compact"/>
              <w:jc w:val="left"/>
            </w:pPr>
            <w:r>
              <w:t xml:space="preserve">far face, aerogel 0.1 W/mK, 10 K/W</w:t>
            </w:r>
          </w:p>
        </w:tc>
        <w:tc>
          <w:p>
            <w:pPr>
              <w:pStyle w:val="Compact"/>
              <w:jc w:val="left"/>
            </w:pPr>
            <w:r>
              <w:t xml:space="preserve">no steady state (refresh runaway at full capability)</w:t>
            </w:r>
          </w:p>
        </w:tc>
        <w:tc>
          <w:p>
            <w:pPr>
              <w:pStyle w:val="Compact"/>
              <w:jc w:val="left"/>
            </w:pPr>
            <w:r>
              <w:t xml:space="preserve">—</w:t>
            </w:r>
          </w:p>
        </w:tc>
        <w:tc>
          <w:p>
            <w:pPr>
              <w:pStyle w:val="Compact"/>
              <w:jc w:val="left"/>
            </w:pPr>
            <w:r>
              <w:t xml:space="preserve">—</w:t>
            </w:r>
          </w:p>
        </w:tc>
      </w:tr>
      <w:tr>
        <w:tc>
          <w:p>
            <w:pPr>
              <w:pStyle w:val="Compact"/>
              <w:jc w:val="left"/>
            </w:pPr>
            <w:r>
              <w:t xml:space="preserve">far face, 5 W/mK, 1 / 3 / 10 K/W</w:t>
            </w:r>
          </w:p>
        </w:tc>
        <w:tc>
          <w:p>
            <w:pPr>
              <w:pStyle w:val="Compact"/>
              <w:jc w:val="left"/>
            </w:pPr>
            <w:r>
              <w:t xml:space="preserve">114.8 / 132.9 / 141.2 W</w:t>
            </w:r>
          </w:p>
        </w:tc>
        <w:tc>
          <w:p>
            <w:pPr>
              <w:pStyle w:val="Compact"/>
              <w:jc w:val="left"/>
            </w:pPr>
            <w:r>
              <w:t xml:space="preserve">47 / 52 · 50 / 55 · 51 / 57 °C</w:t>
            </w:r>
          </w:p>
        </w:tc>
        <w:tc>
          <w:p>
            <w:pPr>
              <w:pStyle w:val="Compact"/>
              <w:jc w:val="left"/>
            </w:pPr>
            <w:r>
              <w:t xml:space="preserve">−11 / +7 / +15 W</w:t>
            </w:r>
          </w:p>
        </w:tc>
      </w:tr>
      <w:tr>
        <w:tc>
          <w:p>
            <w:pPr>
              <w:pStyle w:val="Compact"/>
              <w:jc w:val="left"/>
            </w:pPr>
            <w:r>
              <w:t xml:space="preserve">memory-on-logic, one die, bond 50 / 5 W/mK</w:t>
            </w:r>
          </w:p>
        </w:tc>
        <w:tc>
          <w:p>
            <w:pPr>
              <w:pStyle w:val="Compact"/>
              <w:jc w:val="left"/>
            </w:pPr>
            <w:r>
              <w:t xml:space="preserve">126.1 / 133.6 W</w:t>
            </w:r>
          </w:p>
        </w:tc>
        <w:tc>
          <w:p>
            <w:pPr>
              <w:pStyle w:val="Compact"/>
              <w:jc w:val="left"/>
            </w:pPr>
            <w:r>
              <w:t xml:space="preserve">43 / 51 · 41 / 48 °C</w:t>
            </w:r>
          </w:p>
        </w:tc>
        <w:tc>
          <w:p>
            <w:pPr>
              <w:pStyle w:val="Compact"/>
              <w:jc w:val="left"/>
            </w:pPr>
            <w:r>
              <w:t xml:space="preserve">+0 / +7.5 W</w:t>
            </w:r>
          </w:p>
        </w:tc>
      </w:tr>
      <w:tr>
        <w:tc>
          <w:p>
            <w:pPr>
              <w:pStyle w:val="Compact"/>
              <w:jc w:val="left"/>
            </w:pPr>
            <w:r>
              <w:t xml:space="preserve">memory-on-logic, 8-high lumped, bonds 50 / 5 W/mK</w:t>
            </w:r>
          </w:p>
        </w:tc>
        <w:tc>
          <w:p>
            <w:pPr>
              <w:pStyle w:val="Compact"/>
              <w:jc w:val="left"/>
            </w:pPr>
            <w:r>
              <w:t xml:space="preserve">166.5 W / no hold</w:t>
            </w:r>
          </w:p>
        </w:tc>
        <w:tc>
          <w:p>
            <w:pPr>
              <w:pStyle w:val="Compact"/>
              <w:jc w:val="left"/>
            </w:pPr>
            <w:r>
              <w:t xml:space="preserve">41 / 49 · —</w:t>
            </w:r>
          </w:p>
        </w:tc>
        <w:tc>
          <w:p>
            <w:pPr>
              <w:pStyle w:val="Compact"/>
              <w:jc w:val="left"/>
            </w:pPr>
            <w:r>
              <w:t xml:space="preserve">+40 W / —</w:t>
            </w:r>
          </w:p>
        </w:tc>
      </w:tr>
      <w:tr>
        <w:tc>
          <w:p>
            <w:pPr>
              <w:pStyle w:val="Compact"/>
              <w:jc w:val="left"/>
            </w:pPr>
            <w:r>
              <w:t xml:space="preserve">at 1.00 W/mm²: beside · far face (vias, 3 K/W) · 8-high on logic</w:t>
            </w:r>
          </w:p>
        </w:tc>
        <w:tc>
          <w:p>
            <w:pPr>
              <w:pStyle w:val="Compact"/>
              <w:jc w:val="left"/>
            </w:pPr>
            <w:r>
              <w:t xml:space="preserve">0 · 0 · 35.4 W</w:t>
            </w:r>
          </w:p>
        </w:tc>
        <w:tc>
          <w:p>
            <w:pPr>
              <w:pStyle w:val="Compact"/>
              <w:jc w:val="left"/>
            </w:pPr>
            <w:r>
              <w:t xml:space="preserve">29 · 68 / 72 · 56 / 63 °C</w:t>
            </w:r>
          </w:p>
        </w:tc>
        <w:tc>
          <w:p>
            <w:pPr>
              <w:pStyle w:val="Compact"/>
              <w:jc w:val="left"/>
            </w:pPr>
            <w:r>
              <w:t xml:space="preserve">—</w:t>
            </w:r>
          </w:p>
        </w:tc>
      </w:tr>
    </w:tbl>
    <w:p>
      <w:pPr>
        <w:pStyle w:val="BodyText"/>
      </w:pPr>
      <w:r>
        <w:t xml:space="preserve">MEASURED, 100 µm cells, dye extractor, the planner’s 45 K scalar beside the curve, seed envelope (per-block twins: reference 99.2 W, far face at 3 K/W 111.9 W). Every held row has refresh multiplier 1.0. The DRAM model is UNCALIBRATED (</w:t>
      </w:r>
      <w:r>
        <w:rPr>
          <w:rStyle w:val="VerbatimChar"/>
        </w:rPr>
        <w:t xml:space="preserve">power/dram.py</w:t>
      </w:r>
      <w:r>
        <w:t xml:space="preserve">); quote placements and heat paths, not memory watts.</w:t>
      </w:r>
    </w:p>
    <w:p>
      <w:pPr>
        <w:pStyle w:val="CaptionedFigure"/>
      </w:pPr>
      <w:r>
        <w:drawing>
          <wp:inline>
            <wp:extent cx="5334000" cy="2039520"/>
            <wp:effectExtent b="0" l="0" r="0" t="0"/>
            <wp:docPr descr="Figure 8.2 — The memory die’s three placements, measured (FIG. 10)." title="" id="1" name="Picture"/>
            <a:graphic>
              <a:graphicData uri="http://schemas.openxmlformats.org/drawingml/2006/picture">
                <pic:pic>
                  <pic:nvPicPr>
                    <pic:cNvPr descr="figures/pat_fig10.png" id="0" name="Picture"/>
                    <pic:cNvPicPr>
                      <a:picLocks noChangeArrowheads="1" noChangeAspect="1"/>
                    </pic:cNvPicPr>
                  </pic:nvPicPr>
                  <pic:blipFill>
                    <a:blip r:embed="rId61"/>
                    <a:stretch>
                      <a:fillRect/>
                    </a:stretch>
                  </pic:blipFill>
                  <pic:spPr bwMode="auto">
                    <a:xfrm>
                      <a:off x="0" y="0"/>
                      <a:ext cx="5334000" cy="2039520"/>
                    </a:xfrm>
                    <a:prstGeom prst="rect">
                      <a:avLst/>
                    </a:prstGeom>
                    <a:noFill/>
                    <a:ln w="9525">
                      <a:noFill/>
                      <a:headEnd/>
                      <a:tailEnd/>
                    </a:ln>
                  </pic:spPr>
                </pic:pic>
              </a:graphicData>
            </a:graphic>
          </wp:inline>
        </w:drawing>
      </w:r>
    </w:p>
    <w:p>
      <w:pPr>
        <w:pStyle w:val="ImageCaption"/>
      </w:pPr>
      <w:r>
        <w:t xml:space="preserve">Figure 8.2 — The memory die’s three placements, measured (FIG. 10).</w:t>
      </w:r>
    </w:p>
    <w:p>
      <w:r>
        <w:pict>
          <v:rect style="width:0;height:1.5pt" o:hralign="center" o:hrstd="t" o:hr="t"/>
        </w:pict>
      </w:r>
    </w:p>
    <w:p>
      <w:pPr>
        <w:pStyle w:val="Heading2"/>
      </w:pPr>
      <w:bookmarkStart w:id="62" w:name="Xa656942d5b10563144e01bc8233df99af998a73"/>
      <w:r>
        <w:t xml:space="preserve">9. Appendix — evidence pointers and the standing rules</w:t>
      </w:r>
      <w:bookmarkEnd w:id="62"/>
    </w:p>
    <w:p>
      <w:pPr>
        <w:pStyle w:val="FirstParagraph"/>
      </w:pPr>
      <w:r>
        <w:t xml:space="preserve">Every file named in Sections 4–5 is in</w:t>
      </w:r>
      <w:r>
        <w:t xml:space="preserve"> </w:t>
      </w:r>
      <w:r>
        <w:rPr>
          <w:rStyle w:val="VerbatimChar"/>
        </w:rPr>
        <w:t xml:space="preserve">results/</w:t>
      </w:r>
      <w:r>
        <w:t xml:space="preserve"> </w:t>
      </w:r>
      <w:r>
        <w:t xml:space="preserve">(copied from</w:t>
      </w:r>
      <w:r>
        <w:t xml:space="preserve"> </w:t>
      </w:r>
      <w:r>
        <w:rPr>
          <w:rStyle w:val="VerbatimChar"/>
        </w:rPr>
        <w:t xml:space="preserve">docs/evidence/</w:t>
      </w:r>
      <w:r>
        <w:t xml:space="preserve">), with the register (</w:t>
      </w:r>
      <w:r>
        <w:rPr>
          <w:rStyle w:val="VerbatimChar"/>
        </w:rPr>
        <w:t xml:space="preserve">RESULTS_REGISTER.md</w:t>
      </w:r>
      <w:r>
        <w:t xml:space="preserve">) that classifies them. Standing rules that bound every number:</w:t>
      </w:r>
    </w:p>
    <w:p>
      <w:pPr>
        <w:numPr>
          <w:ilvl w:val="0"/>
          <w:numId w:val="1004"/>
        </w:numPr>
        <w:pStyle w:val="Compact"/>
      </w:pPr>
      <w:r>
        <w:t xml:space="preserve">Two control ceilings exist (the density probe’s shaped arm, 0.60–0.65; the driver’s control arm, 0.88–1.00); say which.</w:t>
      </w:r>
    </w:p>
    <w:p>
      <w:pPr>
        <w:numPr>
          <w:ilvl w:val="0"/>
          <w:numId w:val="1004"/>
        </w:numPr>
        <w:pStyle w:val="Compact"/>
      </w:pPr>
      <w:r>
        <w:t xml:space="preserve">Every rung above ~1.3 W/mm² is a current statement as well as a thermal one.</w:t>
      </w:r>
    </w:p>
    <w:p>
      <w:pPr>
        <w:numPr>
          <w:ilvl w:val="0"/>
          <w:numId w:val="1004"/>
        </w:numPr>
        <w:pStyle w:val="Compact"/>
      </w:pPr>
      <w:r>
        <w:t xml:space="preserve">Steady per-tile demand never exceeds ~5 W/mm² on any die simulated; 13 W/mm² transient.</w:t>
      </w:r>
    </w:p>
    <w:p>
      <w:pPr>
        <w:numPr>
          <w:ilvl w:val="0"/>
          <w:numId w:val="1004"/>
        </w:numPr>
        <w:pStyle w:val="Compact"/>
      </w:pPr>
      <w:r>
        <w:t xml:space="preserve">Above ~127 °C report</w:t>
      </w:r>
      <w:r>
        <w:t xml:space="preserve"> </w:t>
      </w:r>
      <w:r>
        <w:t xml:space="preserve">“</w:t>
      </w:r>
      <w:r>
        <w:t xml:space="preserve">non-viable</w:t>
      </w:r>
      <w:r>
        <w:t xml:space="preserve">”</w:t>
      </w:r>
      <w:r>
        <w:t xml:space="preserve">, never a temperature.</w:t>
      </w:r>
    </w:p>
    <w:p>
      <w:pPr>
        <w:numPr>
          <w:ilvl w:val="0"/>
          <w:numId w:val="1004"/>
        </w:numPr>
        <w:pStyle w:val="Compact"/>
      </w:pPr>
      <w:r>
        <w:t xml:space="preserve">Sub-ambient figures are a bracket (two GIDL models), not a point.</w:t>
      </w:r>
    </w:p>
    <w:p>
      <w:pPr>
        <w:numPr>
          <w:ilvl w:val="0"/>
          <w:numId w:val="1004"/>
        </w:numPr>
        <w:pStyle w:val="Compact"/>
      </w:pPr>
      <w:r>
        <w:t xml:space="preserve">An unconverged solve is neither a hold nor a failure.</w:t>
      </w:r>
    </w:p>
    <w:p>
      <w:pPr>
        <w:numPr>
          <w:ilvl w:val="0"/>
          <w:numId w:val="1004"/>
        </w:numPr>
        <w:pStyle w:val="Compact"/>
      </w:pPr>
      <w:r>
        <w:t xml:space="preserve">MR costs are comparable across leakage curves only at a common peak.</w:t>
      </w:r>
    </w:p>
    <w:p>
      <w:pPr>
        <w:numPr>
          <w:ilvl w:val="0"/>
          <w:numId w:val="1004"/>
        </w:numPr>
        <w:pStyle w:val="Compact"/>
      </w:pPr>
      <w:r>
        <w:t xml:space="preserve">The floorplan-pack images are third-party subscriber content: numbers derived from them may be published, the plates may not.</w:t>
      </w:r>
    </w:p>
    <w:p>
      <w:pPr>
        <w:pStyle w:val="FirstParagraph"/>
      </w:pPr>
      <w:r>
        <w:t xml:space="preserve">Nothing here is a legal opinion; it is the technical record and our recommendation on which parts of it bear claims.</w:t>
      </w:r>
    </w:p>
    <w:p>
      <w:pPr>
        <w:pStyle w:val="CaptionedFigure"/>
      </w:pPr>
      <w:r>
        <w:drawing>
          <wp:inline>
            <wp:extent cx="5334000" cy="4333736"/>
            <wp:effectExtent b="0" l="0" r="0" t="0"/>
            <wp:docPr descr="Figure 9.1 — The evidence matrix." title="" id="1" name="Picture"/>
            <a:graphic>
              <a:graphicData uri="http://schemas.openxmlformats.org/drawingml/2006/picture">
                <pic:pic>
                  <pic:nvPicPr>
                    <pic:cNvPr descr="figures/fig_evidence_matrix.png" id="0" name="Picture"/>
                    <pic:cNvPicPr>
                      <a:picLocks noChangeArrowheads="1" noChangeAspect="1"/>
                    </pic:cNvPicPr>
                  </pic:nvPicPr>
                  <pic:blipFill>
                    <a:blip r:embed="rId63"/>
                    <a:stretch>
                      <a:fillRect/>
                    </a:stretch>
                  </pic:blipFill>
                  <pic:spPr bwMode="auto">
                    <a:xfrm>
                      <a:off x="0" y="0"/>
                      <a:ext cx="5334000" cy="4333736"/>
                    </a:xfrm>
                    <a:prstGeom prst="rect">
                      <a:avLst/>
                    </a:prstGeom>
                    <a:noFill/>
                    <a:ln w="9525">
                      <a:noFill/>
                      <a:headEnd/>
                      <a:tailEnd/>
                    </a:ln>
                  </pic:spPr>
                </pic:pic>
              </a:graphicData>
            </a:graphic>
          </wp:inline>
        </w:drawing>
      </w:r>
    </w:p>
    <w:p>
      <w:pPr>
        <w:pStyle w:val="ImageCaption"/>
      </w:pPr>
      <w:r>
        <w:t xml:space="preserve">Figure 9.1 — The evidence matrix.</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38" Target="media/rId38.png" /><Relationship Type="http://schemas.openxmlformats.org/officeDocument/2006/relationships/image" Id="rId30" Target="media/rId30.png" /><Relationship Type="http://schemas.openxmlformats.org/officeDocument/2006/relationships/image" Id="rId36" Target="media/rId36.png" /><Relationship Type="http://schemas.openxmlformats.org/officeDocument/2006/relationships/image" Id="rId34" Target="media/rId34.png" /><Relationship Type="http://schemas.openxmlformats.org/officeDocument/2006/relationships/image" Id="rId35" Target="media/rId35.png" /><Relationship Type="http://schemas.openxmlformats.org/officeDocument/2006/relationships/image" Id="rId31" Target="media/rId31.png"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29" Target="media/rId29.png" /><Relationship Type="http://schemas.openxmlformats.org/officeDocument/2006/relationships/image" Id="rId44" Target="media/rId44.png" /><Relationship Type="http://schemas.openxmlformats.org/officeDocument/2006/relationships/image" Id="rId63" Target="media/rId63.png" /><Relationship Type="http://schemas.openxmlformats.org/officeDocument/2006/relationships/image" Id="rId59" Target="media/rId59.png" /><Relationship Type="http://schemas.openxmlformats.org/officeDocument/2006/relationships/image" Id="rId43" Target="media/rId43.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61" Target="media/rId61.png" /><Relationship Type="http://schemas.openxmlformats.org/officeDocument/2006/relationships/image" Id="rId47" Target="media/rId47.png" /><Relationship Type="http://schemas.openxmlformats.org/officeDocument/2006/relationships/image" Id="rId48" Target="media/rId48.png" /><Relationship Type="http://schemas.openxmlformats.org/officeDocument/2006/relationships/image" Id="rId49" Target="media/rId49.png" /><Relationship Type="http://schemas.openxmlformats.org/officeDocument/2006/relationships/image" Id="rId50" Target="media/rId50.png" /><Relationship Type="http://schemas.openxmlformats.org/officeDocument/2006/relationships/image" Id="rId51" Target="media/rId51.png" /><Relationship Type="http://schemas.openxmlformats.org/officeDocument/2006/relationships/image" Id="rId52" Target="media/rId52.png" /><Relationship Type="http://schemas.openxmlformats.org/officeDocument/2006/relationships/image" Id="rId53" Target="media/rId53.png" /><Relationship Type="http://schemas.openxmlformats.org/officeDocument/2006/relationships/image" Id="rId54" Target="media/rId54.png" /><Relationship Type="http://schemas.openxmlformats.org/officeDocument/2006/relationships/image" Id="rId55" Target="media/rId55.png" /><Relationship Type="http://schemas.openxmlformats.org/officeDocument/2006/relationships/image" Id="rId56" Target="media/rId56.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2026-10-27T16:27:51Z</dcterms:created>
  <dcterms:modified xsi:type="dcterms:W3CDTF">2026-10-27T16:27:51Z</dcterms:modified>
</cp:coreProperties>
</file>

<file path=docProps/custom.xml><?xml version="1.0" encoding="utf-8"?>
<Properties xmlns="http://schemas.openxmlformats.org/officeDocument/2006/custom-properties" xmlns:vt="http://schemas.openxmlformats.org/officeDocument/2006/docPropsVTypes"/>
</file>