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ng" ContentType="image/png"/>
  <Override PartName="/word/media/rId40.png" ContentType="image/png"/>
  <Override PartName="/word/media/rId65.png" ContentType="image/png"/>
  <Override PartName="/word/media/rId52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Representation and annotation change measured structure and perturbation responses of hematopoietic gene programs</w:t>
      </w:r>
    </w:p>
    <w:p>
      <w:pPr>
        <w:pStyle w:val="Date"/>
      </w:pPr>
      <w:r>
        <w:t xml:space="preserve">Internal review draft, 2026-10-20</w:t>
      </w:r>
    </w:p>
    <w:p>
      <w:pPr>
        <w:pStyle w:val="FirstParagraph"/>
      </w:pPr>
      <w:r>
        <w:rPr>
          <w:b/>
          <w:bCs/>
        </w:rPr>
        <w:t xml:space="preserve">Internal manuscript draft, updated 2026-10-20. Not ready for submission.</w:t>
      </w:r>
      <w:r>
        <w:t xml:space="preserve"> </w:t>
      </w:r>
      <w:r>
        <w:t xml:space="preserve">Primary numerical</w:t>
      </w:r>
      <w:r>
        <w:t xml:space="preserve"> </w:t>
      </w:r>
      <w:r>
        <w:t xml:space="preserve">results below come from preserved Gate-0 artifacts and a fresh, archived Norman</w:t>
      </w:r>
      <w:r>
        <w:t xml:space="preserve"> </w:t>
      </w:r>
      <w:r>
        <w:t xml:space="preserve">external-marker analysis, completed full-size SAE fits and exploratory</w:t>
      </w:r>
      <w:r>
        <w:t xml:space="preserve"> </w:t>
      </w:r>
      <w:r>
        <w:t xml:space="preserve">historical-program diagnostics. Historical causal analyses lack their original result</w:t>
      </w:r>
      <w:r>
        <w:t xml:space="preserve"> </w:t>
      </w:r>
      <w:r>
        <w:t xml:space="preserve">JSONs and are excluded from the primary results. The program-modulation design audit uses synthetic data and tests statistical</w:t>
      </w:r>
      <w:r>
        <w:t xml:space="preserve"> </w:t>
      </w:r>
      <w:r>
        <w:t xml:space="preserve">interpretation, not biological discovery. No novel biological mechanism is claimed.</w:t>
      </w:r>
    </w:p>
    <w:p>
      <w:pPr>
        <w:pStyle w:val="BodyText"/>
      </w:pPr>
      <w:r>
        <w:rPr>
          <w:b/>
          <w:bCs/>
        </w:rPr>
        <w:t xml:space="preserve">Authors and affiliations:</w:t>
      </w:r>
      <w:r>
        <w:t xml:space="preserve"> </w:t>
      </w:r>
      <w:r>
        <w:t xml:space="preserve">TODO: author-confirmed author list, order, affiliations,</w:t>
      </w:r>
      <w:r>
        <w:t xml:space="preserve"> </w:t>
      </w:r>
      <w:r>
        <w:t xml:space="preserve">and corresponding-author contact.</w:t>
      </w:r>
      <w:r>
        <w:t xml:space="preserve"> </w:t>
      </w:r>
      <w:r>
        <w:rPr>
          <w:b/>
          <w:bCs/>
        </w:rPr>
        <w:t xml:space="preserve">Mentorship:</w:t>
      </w:r>
      <w:r>
        <w:t xml:space="preserve"> </w:t>
      </w:r>
      <w:r>
        <w:t xml:space="preserve">TODO: confirm scientific supervision</w:t>
      </w:r>
      <w:r>
        <w:t xml:space="preserve"> </w:t>
      </w:r>
      <w:r>
        <w:t xml:space="preserve">and each mentor’s role. No mentor approval is implied by this draft.</w:t>
      </w:r>
    </w:p>
    <w:p>
      <w:r>
        <w:br w:type="page"/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Biological labels on sparse-autoencoder (SAE) features need not determine a</w:t>
      </w:r>
      <w:r>
        <w:t xml:space="preserve"> </w:t>
      </w:r>
      <w:r>
        <w:t xml:space="preserve">representation-independent structure or a faithful perturbation readout. We audited</w:t>
      </w:r>
      <w:r>
        <w:t xml:space="preserve"> </w:t>
      </w:r>
      <w:r>
        <w:t xml:space="preserve">hematopoietic gene programs across structural and perturbation analyses. A</w:t>
      </w:r>
      <w:r>
        <w:t xml:space="preserve"> </w:t>
      </w:r>
      <w:r>
        <w:t xml:space="preserve">version-locked analysis following exploratory development used mouse Paul15 data</w:t>
      </w:r>
      <w:r>
        <w:t xml:space="preserve"> </w:t>
      </w:r>
      <w:r>
        <w:t xml:space="preserve">(2,730 cells, 2,012 genes) and human Setty marrow data (4,142 cells, 2,032 genes).</w:t>
      </w:r>
      <w:r>
        <w:t xml:space="preserve"> </w:t>
      </w:r>
      <w:r>
        <w:t xml:space="preserve">None of ten SAE seeds per dataset supported the hypothesis that erythroid commitment is more distributed than granulocyte</w:t>
      </w:r>
      <w:r>
        <w:t xml:space="preserve"> </w:t>
      </w:r>
      <w:r>
        <w:t xml:space="preserve">commitment; only mouse NMF supported it among ten method-by-dataset combinations.</w:t>
      </w:r>
      <w:r>
        <w:t xml:space="preserve"> </w:t>
      </w:r>
      <w:r>
        <w:t xml:space="preserve">Legacy modulation gates accepted identical generic responses in 20/20 simulated</w:t>
      </w:r>
      <w:r>
        <w:t xml:space="preserve"> </w:t>
      </w:r>
      <w:r>
        <w:t xml:space="preserve">worlds. Conditional identity tests removed that failure but rejected all nine</w:t>
      </w:r>
      <w:r>
        <w:t xml:space="preserve"> </w:t>
      </w:r>
      <w:r>
        <w:t xml:space="preserve">panels in 100/100 worlds with variable-strength generic effects. Three fresh</w:t>
      </w:r>
      <w:r>
        <w:t xml:space="preserve"> </w:t>
      </w:r>
      <w:r>
        <w:t xml:space="preserve">200-epoch Norman CRISPRa SAE fits left normal-marrow heme and membrane panels</w:t>
      </w:r>
      <w:r>
        <w:t xml:space="preserve"> </w:t>
      </w:r>
      <w:r>
        <w:t xml:space="preserve">unmatched. The exact historical eight-gene K562 program instead yielded 63, 61, 61</w:t>
      </w:r>
      <w:r>
        <w:t xml:space="preserve"> </w:t>
      </w:r>
      <w:r>
        <w:t xml:space="preserve">associations, with 57 direct-score calls and 38 surviving reference, depth and every single gene omission check. Ordinary PCA recovered 65, while one control-only SAE recovered 8.</w:t>
      </w:r>
      <w:r>
        <w:t xml:space="preserve"> </w:t>
      </w:r>
      <w:r>
        <w:t xml:space="preserve">Program definition and granularity therefore changed recovery; this historically</w:t>
      </w:r>
      <w:r>
        <w:t xml:space="preserve"> </w:t>
      </w:r>
      <w:r>
        <w:t xml:space="preserve">selected signature does not provide independent confirmation. A 0.88% decrease in</w:t>
      </w:r>
      <w:r>
        <w:t xml:space="preserve"> </w:t>
      </w:r>
      <w:r>
        <w:t xml:space="preserve">NMF reconstruction error also added a membrane annotation. Twenty Cycling PCA-up</w:t>
      </w:r>
      <w:r>
        <w:t xml:space="preserve"> </w:t>
      </w:r>
      <w:r>
        <w:t xml:space="preserve">associations had both external phase AUCs≤0.45; verified signed-weight attribution</w:t>
      </w:r>
      <w:r>
        <w:t xml:space="preserve"> </w:t>
      </w:r>
      <w:r>
        <w:t xml:space="preserve">showed falling phase-gene contributions outweighed by other genes. These results</w:t>
      </w:r>
      <w:r>
        <w:t xml:space="preserve"> </w:t>
      </w:r>
      <w:r>
        <w:t xml:space="preserve">support conditional program associations and representation/annotation dependence</w:t>
      </w:r>
      <w:r>
        <w:t xml:space="preserve"> </w:t>
      </w:r>
      <w:r>
        <w:t xml:space="preserve">in the tested systems. They do not establish pathway-specific regulation,</w:t>
      </w:r>
      <w:r>
        <w:t xml:space="preserve"> </w:t>
      </w:r>
      <w:r>
        <w:t xml:space="preserve">independent biological replication, new regulator mechanisms or an SAE advantage.</w:t>
      </w:r>
    </w:p>
    <w:bookmarkEnd w:id="20"/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Erythroid and granulocyte differentiation involve recognizable transcription factors,</w:t>
      </w:r>
      <w:r>
        <w:t xml:space="preserve"> </w:t>
      </w:r>
      <w:r>
        <w:t xml:space="preserve">biosynthetic machinery, and terminal effector genes, providing a test of whether</w:t>
      </w:r>
      <w:r>
        <w:t xml:space="preserve"> </w:t>
      </w:r>
      <w:r>
        <w:t xml:space="preserve">features represent reproducible organization rather than appealing annotations. Single-cell studies have</w:t>
      </w:r>
      <w:r>
        <w:t xml:space="preserve"> </w:t>
      </w:r>
      <w:r>
        <w:t xml:space="preserve">characterized heterogeneous myeloid progenitors and human differentiation</w:t>
      </w:r>
      <w:r>
        <w:t xml:space="preserve"> </w:t>
      </w:r>
      <w:r>
        <w:t xml:space="preserve">trajectories [1,2]. A decomposition of those data, however, measures expression</w:t>
      </w:r>
      <w:r>
        <w:t xml:space="preserve"> </w:t>
      </w:r>
      <w:r>
        <w:t xml:space="preserve">through its own constraints: variance maximization, nonnegative factors, independent</w:t>
      </w:r>
      <w:r>
        <w:t xml:space="preserve"> </w:t>
      </w:r>
      <w:r>
        <w:t xml:space="preserve">components, or sparse reconstruction.</w:t>
      </w:r>
    </w:p>
    <w:p>
      <w:pPr>
        <w:pStyle w:val="BodyText"/>
      </w:pPr>
      <w:r>
        <w:t xml:space="preserve">An SAE expresses observations through a dictionary of learned features with sparse</w:t>
      </w:r>
      <w:r>
        <w:t xml:space="preserve"> </w:t>
      </w:r>
      <w:r>
        <w:t xml:space="preserve">activity. Matching a feature to familiar genes demonstrates a descriptive</w:t>
      </w:r>
      <w:r>
        <w:t xml:space="preserve"> </w:t>
      </w:r>
      <w:r>
        <w:t xml:space="preserve">relationship. It does not determine how many biological programs exist, whether</w:t>
      </w:r>
      <w:r>
        <w:t xml:space="preserve"> </w:t>
      </w:r>
      <w:r>
        <w:t xml:space="preserve">another method would recover the same partition, or which perturbations regulate</w:t>
      </w:r>
      <w:r>
        <w:t xml:space="preserve"> </w:t>
      </w:r>
      <w:r>
        <w:t xml:space="preserve">the feature. These questions require different controls. The present project began with a directional claim: granulocyte</w:t>
      </w:r>
      <w:r>
        <w:t xml:space="preserve"> </w:t>
      </w:r>
      <w:r>
        <w:t xml:space="preserve">commitment was treated as unified while erythroid commitment was considered</w:t>
      </w:r>
      <w:r>
        <w:t xml:space="preserve"> </w:t>
      </w:r>
      <w:r>
        <w:t xml:space="preserve">distributed. Exploratory metric and marker corrections changed its interpretation,</w:t>
      </w:r>
      <w:r>
        <w:t xml:space="preserve"> </w:t>
      </w:r>
      <w:r>
        <w:t xml:space="preserve">motivating an explicit final decision rule and comparisons across methods.</w:t>
      </w:r>
    </w:p>
    <w:p>
      <w:pPr>
        <w:pStyle w:val="BodyText"/>
      </w:pPr>
      <w:r>
        <w:t xml:space="preserve">Related foundation-model work distinguishes model-internal SAE ablations from</w:t>
      </w:r>
      <w:r>
        <w:t xml:space="preserve"> </w:t>
      </w:r>
      <w:r>
        <w:t xml:space="preserve">cellular causal structure and quantifies annotation-selection and sign-bias</w:t>
      </w:r>
      <w:r>
        <w:t xml:space="preserve"> </w:t>
      </w:r>
      <w:r>
        <w:t xml:space="preserve">effects in validation [9]. Our expression-space analysis asks different questions;</w:t>
      </w:r>
      <w:r>
        <w:t xml:space="preserve"> </w:t>
      </w:r>
      <w:r>
        <w:t xml:space="preserve">it does not claim to introduce SAE interpretation or biological causal discovery.</w:t>
      </w:r>
    </w:p>
    <w:p>
      <w:pPr>
        <w:pStyle w:val="BodyText"/>
      </w:pPr>
      <w:r>
        <w:t xml:space="preserve">We test that direction across two datasets and five decomposition families, then</w:t>
      </w:r>
      <w:r>
        <w:t xml:space="preserve"> </w:t>
      </w:r>
      <w:r>
        <w:t xml:space="preserve">audit a perturbation-validation design. The contribution is an inspectable account</w:t>
      </w:r>
      <w:r>
        <w:t xml:space="preserve"> </w:t>
      </w:r>
      <w:r>
        <w:t xml:space="preserve">of what these measurements support, without claiming that SAE use in single-cell</w:t>
      </w:r>
      <w:r>
        <w:t xml:space="preserve"> </w:t>
      </w:r>
      <w:r>
        <w:t xml:space="preserve">biology is original or that all biological modules must be representation-invariant.</w:t>
      </w:r>
    </w:p>
    <w:bookmarkEnd w:id="21"/>
    <w:bookmarkStart w:id="38" w:name="methods"/>
    <w:p>
      <w:pPr>
        <w:pStyle w:val="Heading1"/>
      </w:pPr>
      <w:r>
        <w:t xml:space="preserve">Methods</w:t>
      </w:r>
    </w:p>
    <w:bookmarkStart w:id="24" w:name="evidence-set-and-analysis-chronology"/>
    <w:p>
      <w:pPr>
        <w:pStyle w:val="Heading2"/>
      </w:pPr>
      <w:r>
        <w:t xml:space="preserve">Evidence set and analysis chronology</w:t>
      </w:r>
    </w:p>
    <w:p>
      <w:pPr>
        <w:pStyle w:val="FirstParagraph"/>
      </w:pPr>
      <w:r>
        <w:t xml:space="preserve">The primary evidence set comprises committed preprocessing and training reports,</w:t>
      </w:r>
      <w:r>
        <w:t xml:space="preserve"> </w:t>
      </w:r>
      <w:r>
        <w:t xml:space="preserve">decision JSONs, per-seed CSVs, baseline summaries, and robustness summaries under</w:t>
      </w:r>
      <w:r>
        <w:t xml:space="preserve"> </w:t>
      </w:r>
      <w:hyperlink r:id="rId22">
        <w:r>
          <w:rPr>
            <w:rStyle w:val="VerbatimChar"/>
          </w:rPr>
          <w:t xml:space="preserve">data_g0/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VerbatimChar"/>
          </w:rPr>
          <w:t xml:space="preserve">data_g0_human/</w:t>
        </w:r>
      </w:hyperlink>
      <w:r>
        <w:t xml:space="preserve">. Analyses were</w:t>
      </w:r>
      <w:r>
        <w:t xml:space="preserve"> </w:t>
      </w:r>
      <w:r>
        <w:t xml:space="preserve">developed on these biological systems before the final Gate-0 specification was</w:t>
      </w:r>
      <w:r>
        <w:t xml:space="preserve"> </w:t>
      </w:r>
      <w:r>
        <w:t xml:space="preserve">version-locked. The lock preceded the final runs; it did not precede all exploration.</w:t>
      </w:r>
      <w:r>
        <w:t xml:space="preserve"> </w:t>
      </w:r>
      <w:r>
        <w:t xml:space="preserve">SHA-256 checks establish preservation of the specified files, not independent</w:t>
      </w:r>
      <w:r>
        <w:t xml:space="preserve"> </w:t>
      </w:r>
      <w:r>
        <w:t xml:space="preserve">prospective registration or protection against every researcher choice.</w:t>
      </w:r>
    </w:p>
    <w:p>
      <w:pPr>
        <w:pStyle w:val="BodyText"/>
      </w:pPr>
      <w:r>
        <w:t xml:space="preserve">Later causal metric amendments followed inspected outcomes. Historical Replogle</w:t>
      </w:r>
      <w:r>
        <w:t xml:space="preserve"> </w:t>
      </w:r>
      <w:r>
        <w:t xml:space="preserve">Perturb-seq [5] and</w:t>
      </w:r>
      <w:r>
        <w:t xml:space="preserve"> </w:t>
      </w:r>
      <w:r>
        <w:t xml:space="preserve">CRISPRa records are useful context, but original machine-readable outputs were lost</w:t>
      </w:r>
      <w:r>
        <w:t xml:space="preserve"> </w:t>
      </w:r>
      <w:r>
        <w:t xml:space="preserve">with ephemeral compute instances. Their numerical claims are consequently excluded</w:t>
      </w:r>
      <w:r>
        <w:t xml:space="preserve"> </w:t>
      </w:r>
      <w:r>
        <w:t xml:space="preserve">from the primary evidence presented here. Fresh Norman CPU fits and baselines</w:t>
      </w:r>
      <w:r>
        <w:t xml:space="preserve"> </w:t>
      </w:r>
      <w:r>
        <w:t xml:space="preserve">are separately archived; they do not reconstruct the lost historical experiments.</w:t>
      </w:r>
    </w:p>
    <w:bookmarkEnd w:id="24"/>
    <w:bookmarkStart w:id="26" w:name="data-and-preprocessing"/>
    <w:p>
      <w:pPr>
        <w:pStyle w:val="Heading2"/>
      </w:pPr>
      <w:r>
        <w:t xml:space="preserve">Data and preprocessing</w:t>
      </w:r>
    </w:p>
    <w:p>
      <w:pPr>
        <w:pStyle w:val="FirstParagraph"/>
      </w:pPr>
      <w:r>
        <w:t xml:space="preserve">Mouse data derive from the Paul et al. myeloid progenitor dataset [1]. The supported</w:t>
      </w:r>
      <w:r>
        <w:t xml:space="preserve"> </w:t>
      </w:r>
      <w:r>
        <w:t xml:space="preserve">preprocessing applies a source-specific log policy to the depth-adjusted expression</w:t>
      </w:r>
      <w:r>
        <w:t xml:space="preserve"> </w:t>
      </w:r>
      <w:r>
        <w:t xml:space="preserve">matrix, selects highly variable genes, retains available predefined lineage markers,</w:t>
      </w:r>
      <w:r>
        <w:t xml:space="preserve"> </w:t>
      </w:r>
      <w:r>
        <w:t xml:space="preserve">and scales genes. The resulting matrix contains 2,730 cells and 2,012 genes. The</w:t>
      </w:r>
      <w:r>
        <w:t xml:space="preserve"> </w:t>
      </w:r>
      <w:r>
        <w:t xml:space="preserve">human arm uses Setty et al. CD34+ marrow data distributed with Palantir [2]. Counts</w:t>
      </w:r>
      <w:r>
        <w:t xml:space="preserve"> </w:t>
      </w:r>
      <w:r>
        <w:t xml:space="preserve">are normalized to a library-size target of 10,000, log-transformed, subjected to</w:t>
      </w:r>
      <w:r>
        <w:t xml:space="preserve"> </w:t>
      </w:r>
      <w:r>
        <w:t xml:space="preserve">marker-aware gene selection, and scaled, producing 4,142 cells and 2,032 genes.</w:t>
      </w:r>
      <w:r>
        <w:t xml:space="preserve"> </w:t>
      </w:r>
      <w:r>
        <w:t xml:space="preserve">Scanpy tooling [4] supports mouse data access. Assay and cell-selection differences require source-specific preprocessing.</w:t>
      </w:r>
    </w:p>
    <w:p>
      <w:pPr>
        <w:pStyle w:val="BodyText"/>
      </w:pPr>
      <w:r>
        <w:t xml:space="preserve">Retained genes and marker coverage are recorded in each</w:t>
      </w:r>
      <w:r>
        <w:t xml:space="preserve"> </w:t>
      </w:r>
      <w:r>
        <w:rPr>
          <w:rStyle w:val="VerbatimChar"/>
        </w:rPr>
        <w:t xml:space="preserve">preprocess_report.json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gene_names.csv</w:t>
      </w:r>
      <w:r>
        <w:t xml:space="preserve">. Marker panels contain four erythroid submodules and three</w:t>
      </w:r>
      <w:r>
        <w:t xml:space="preserve"> </w:t>
      </w:r>
      <w:r>
        <w:t xml:space="preserve">granulocyte submodules, with Progenitor and Cycling panels as comparators. Human</w:t>
      </w:r>
      <w:r>
        <w:t xml:space="preserve"> </w:t>
      </w:r>
      <w:r>
        <w:t xml:space="preserve">symbols are specified in</w:t>
      </w:r>
      <w:r>
        <w:t xml:space="preserve"> </w:t>
      </w:r>
      <w:hyperlink r:id="rId25">
        <w:r>
          <w:rPr>
            <w:rStyle w:val="VerbatimChar"/>
          </w:rPr>
          <w:t xml:space="preserve">config/human_markers.json</w:t>
        </w:r>
      </w:hyperlink>
      <w:r>
        <w:t xml:space="preserve">.</w:t>
      </w:r>
      <w:r>
        <w:t xml:space="preserve"> </w:t>
      </w:r>
      <w:r>
        <w:t xml:space="preserve">These panels define the operational units tested; they are not a complete census</w:t>
      </w:r>
      <w:r>
        <w:t xml:space="preserve"> </w:t>
      </w:r>
      <w:r>
        <w:t xml:space="preserve">of all lineage biology.</w:t>
      </w:r>
    </w:p>
    <w:bookmarkEnd w:id="26"/>
    <w:bookmarkStart w:id="27" w:name="X35dfb1338402b6cb1fa26fcf3fd9c31f2f437c3"/>
    <w:p>
      <w:pPr>
        <w:pStyle w:val="Heading2"/>
      </w:pPr>
      <w:r>
        <w:t xml:space="preserve">Sparse autoencoders and structural comparisons</w:t>
      </w:r>
    </w:p>
    <w:p>
      <w:pPr>
        <w:pStyle w:val="FirstParagraph"/>
      </w:pPr>
      <w:r>
        <w:t xml:space="preserve">Gate-0 SAEs use 512 nonnegative ReLU features, a linear decoder, reconstruction</w:t>
      </w:r>
      <w:r>
        <w:t xml:space="preserve"> </w:t>
      </w:r>
      <w:r>
        <w:t xml:space="preserve">loss with an L1 activity penalty, and ten random seeds per dataset. The recorded</w:t>
      </w:r>
      <w:r>
        <w:t xml:space="preserve"> </w:t>
      </w:r>
      <w:r>
        <w:t xml:space="preserve">fits used 300 epochs. Mean active-feature counts were approximately 35.8 in mouse</w:t>
      </w:r>
      <w:r>
        <w:t xml:space="preserve"> </w:t>
      </w:r>
      <w:r>
        <w:t xml:space="preserve">and 32.5 in human, within the target range of 20–50. Feature indices were seed-specific.</w:t>
      </w:r>
    </w:p>
    <w:p>
      <w:pPr>
        <w:pStyle w:val="BodyText"/>
      </w:pPr>
      <w:r>
        <w:t xml:space="preserve">PCA, NMF, an absolute-Pearson co-expression regulon representation, and FastICA</w:t>
      </w:r>
      <w:r>
        <w:t xml:space="preserve"> </w:t>
      </w:r>
      <w:r>
        <w:t xml:space="preserve">provided structural comparisons. PCA and NMF used rank 512; NMF required the</w:t>
      </w:r>
      <w:r>
        <w:t xml:space="preserve"> </w:t>
      </w:r>
      <w:r>
        <w:t xml:space="preserve">nonnegative part of the scaled matrix. FastICA was reported at its convergent</w:t>
      </w:r>
      <w:r>
        <w:t xml:space="preserve"> </w:t>
      </w:r>
      <w:r>
        <w:t xml:space="preserve">rank of 50 with three seeds. The co-expression representation used correlations</w:t>
      </w:r>
      <w:r>
        <w:t xml:space="preserve"> </w:t>
      </w:r>
      <w:r>
        <w:t xml:space="preserve">with panel transcription factors and was deterministic; it was not motif-pruned</w:t>
      </w:r>
      <w:r>
        <w:t xml:space="preserve"> </w:t>
      </w:r>
      <w:r>
        <w:t xml:space="preserve">SCENIC. PCA copies of one fitted basis are not independent random-seed replicates.</w:t>
      </w:r>
      <w:r>
        <w:t xml:space="preserve"> </w:t>
      </w:r>
      <w:r>
        <w:t xml:space="preserve">Accordingly, these comparisons interrogate a practical analysis pipeline, including</w:t>
      </w:r>
      <w:r>
        <w:t xml:space="preserve"> </w:t>
      </w:r>
      <w:r>
        <w:t xml:space="preserve">representation-specific transformations, rather than isolating a single algorithm</w:t>
      </w:r>
      <w:r>
        <w:t xml:space="preserve"> </w:t>
      </w:r>
      <w:r>
        <w:t xml:space="preserve">under identical rank, input values, and effective capacity.</w:t>
      </w:r>
    </w:p>
    <w:bookmarkEnd w:id="27"/>
    <w:bookmarkStart w:id="30" w:name="operational-program-measure-and-decision"/>
    <w:p>
      <w:pPr>
        <w:pStyle w:val="Heading2"/>
      </w:pPr>
      <w:r>
        <w:t xml:space="preserve">Operational program measure and decision</w:t>
      </w:r>
    </w:p>
    <w:p>
      <w:pPr>
        <w:pStyle w:val="FirstParagraph"/>
      </w:pPr>
      <w:r>
        <w:t xml:space="preserve">For a marker panel of size K among G retained genes, each feature’s enrichment is</w:t>
      </w:r>
      <w:r>
        <w:t xml:space="preserve"> </w:t>
      </w:r>
      <w:r>
        <w:t xml:space="preserve">the fraction of its absolute decoder loading assigned to those markers, multiplied</w:t>
      </w:r>
      <w:r>
        <w:t xml:space="preserve"> </w:t>
      </w:r>
      <w:r>
        <w:t xml:space="preserve">by G/K. Panel strength is the mean of the three strongest feature enrichments.</w:t>
      </w:r>
      <w:r>
        <w:t xml:space="preserve"> </w:t>
      </w:r>
      <w:r>
        <w:t xml:space="preserve">For each seed, nonnegative excess strength is measured relative to the Progenitor</w:t>
      </w:r>
      <w:r>
        <w:t xml:space="preserve"> </w:t>
      </w:r>
      <w:r>
        <w:t xml:space="preserve">panel. A panel contributes an above-control program count only when excess</w:t>
      </w:r>
      <w:r>
        <w:t xml:space="preserve"> </w:t>
      </w:r>
      <w:r>
        <w:t xml:space="preserve">exceeds 0.10 and its abundance-matched permutation q-value is below 0.05.</w:t>
      </w:r>
    </w:p>
    <w:p>
      <w:pPr>
        <w:pStyle w:val="BodyText"/>
      </w:pPr>
      <w:r>
        <w:t xml:space="preserve">The null draws marker-size-matched genes from 20 bins defined by total absolute</w:t>
      </w:r>
      <w:r>
        <w:t xml:space="preserve"> </w:t>
      </w:r>
      <w:r>
        <w:t xml:space="preserve">decoder mass, using 1,000 draws and Benjamini–Hochberg adjustment across tested</w:t>
      </w:r>
      <w:r>
        <w:t xml:space="preserve"> </w:t>
      </w:r>
      <w:r>
        <w:t xml:space="preserve">panels [3]. This matches a loading-mass proxy, not measured transcript abundance</w:t>
      </w:r>
      <w:r>
        <w:t xml:space="preserve"> </w:t>
      </w:r>
      <w:r>
        <w:t xml:space="preserve">directly. The implementation samples within bins with replacement. Permutation</w:t>
      </w:r>
      <w:r>
        <w:t xml:space="preserve"> </w:t>
      </w:r>
      <w:r>
        <w:t xml:space="preserve">significance uses strength averaged across seeds; the resulting panel significance</w:t>
      </w:r>
      <w:r>
        <w:t xml:space="preserve"> </w:t>
      </w:r>
      <w:r>
        <w:t xml:space="preserve">is then shared across seed-specific excess decisions. Seeds therefore describe</w:t>
      </w:r>
      <w:r>
        <w:t xml:space="preserve"> </w:t>
      </w:r>
      <w:r>
        <w:t xml:space="preserve">algorithmic variability, not independent biological replication.</w:t>
      </w:r>
    </w:p>
    <w:p>
      <w:pPr>
        <w:pStyle w:val="BodyText"/>
      </w:pPr>
      <w:r>
        <w:t xml:space="preserve">The original directional claim is supported for a seed only if erythroid has at</w:t>
      </w:r>
      <w:r>
        <w:t xml:space="preserve"> </w:t>
      </w:r>
      <w:r>
        <w:t xml:space="preserve">least two above-control panels, at least as many as granulocyte, and greater</w:t>
      </w:r>
      <w:r>
        <w:t xml:space="preserve"> </w:t>
      </w:r>
      <w:r>
        <w:t xml:space="preserve">normalized entropy of excess strength. Dataset-level support requires a 60% seed</w:t>
      </w:r>
      <w:r>
        <w:t xml:space="preserve"> </w:t>
      </w:r>
      <w:r>
        <w:t xml:space="preserve">majority. The rule is more specific than a comparison of median counts alone.</w:t>
      </w:r>
      <w:r>
        <w:t xml:space="preserve"> </w:t>
      </w:r>
      <w:r>
        <w:t xml:space="preserve">Implementation and frozen constants are in</w:t>
      </w:r>
      <w:r>
        <w:t xml:space="preserve"> </w:t>
      </w:r>
      <w:hyperlink r:id="rId28">
        <w:r>
          <w:rPr>
            <w:rStyle w:val="VerbatimChar"/>
          </w:rPr>
          <w:t xml:space="preserve">src/v0b_v3_1_decision.py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VerbatimChar"/>
          </w:rPr>
          <w:t xml:space="preserve">config/preregistration_spec.json</w:t>
        </w:r>
      </w:hyperlink>
      <w:r>
        <w:t xml:space="preserve">.</w:t>
      </w:r>
    </w:p>
    <w:bookmarkEnd w:id="30"/>
    <w:bookmarkStart w:id="31" w:name="Xe92b2b7991d5928bddf793a88648bbd68023a9e"/>
    <w:p>
      <w:pPr>
        <w:pStyle w:val="Heading2"/>
      </w:pPr>
      <w:r>
        <w:t xml:space="preserve">Robustness and perturbation-validation design</w:t>
      </w:r>
    </w:p>
    <w:p>
      <w:pPr>
        <w:pStyle w:val="FirstParagraph"/>
      </w:pPr>
      <w:r>
        <w:t xml:space="preserve">Structural sensitivity analyses varied effect thresholds, significance cutoffs,</w:t>
      </w:r>
      <w:r>
        <w:t xml:space="preserve"> </w:t>
      </w:r>
      <w:r>
        <w:t xml:space="preserve">sparsity, seed count, and gene-panel size. Marker leave-one-out analyses examined</w:t>
      </w:r>
      <w:r>
        <w:t xml:space="preserve"> </w:t>
      </w:r>
      <w:r>
        <w:t xml:space="preserve">dependence on an individual marker. These evaluate stability within the tested</w:t>
      </w:r>
      <w:r>
        <w:t xml:space="preserve"> </w:t>
      </w:r>
      <w:r>
        <w:t xml:space="preserve">design and do not replace additional biological datasets.</w:t>
      </w:r>
    </w:p>
    <w:p>
      <w:pPr>
        <w:pStyle w:val="BodyText"/>
      </w:pPr>
      <w:r>
        <w:t xml:space="preserve">The subsequent program-modulation design selects a feature using predefined marker</w:t>
      </w:r>
      <w:r>
        <w:t xml:space="preserve"> </w:t>
      </w:r>
      <w:r>
        <w:t xml:space="preserve">enrichment among control cells, tests its activation under perturbations, and</w:t>
      </w:r>
      <w:r>
        <w:t xml:space="preserve"> </w:t>
      </w:r>
      <w:r>
        <w:t xml:space="preserve">compares modulator counts with full-label shuffles and other eligible features.</w:t>
      </w:r>
      <w:r>
        <w:t xml:space="preserve"> </w:t>
      </w:r>
      <w:r>
        <w:t xml:space="preserve">These diagnostics answer different questions. Full-label shuffling removes the</w:t>
      </w:r>
      <w:r>
        <w:t xml:space="preserve"> </w:t>
      </w:r>
      <w:r>
        <w:t xml:space="preserve">overall perturbation-versus-control response, while a feature-background ranking</w:t>
      </w:r>
      <w:r>
        <w:t xml:space="preserve"> </w:t>
      </w:r>
      <w:r>
        <w:t xml:space="preserve">compares responsiveness with other learned features. Neither by itself tests</w:t>
      </w:r>
      <w:r>
        <w:t xml:space="preserve"> </w:t>
      </w:r>
      <w:r>
        <w:t xml:space="preserve">whether perturbation identities have distinct effects. Selection on controls also</w:t>
      </w:r>
      <w:r>
        <w:t xml:space="preserve"> </w:t>
      </w:r>
      <w:r>
        <w:t xml:space="preserve">uses control membership; describing it as entirely label-free is inaccurate.</w:t>
      </w:r>
    </w:p>
    <w:p>
      <w:pPr>
        <w:pStyle w:val="BodyText"/>
      </w:pPr>
      <w:r>
        <w:t xml:space="preserve">A separate conditional identity test therefore retains controls and permutes</w:t>
      </w:r>
      <w:r>
        <w:t xml:space="preserve"> </w:t>
      </w:r>
      <w:r>
        <w:t xml:space="preserve">perturbation identities among eligible perturbed cells, optionally within nuisance</w:t>
      </w:r>
      <w:r>
        <w:t xml:space="preserve"> </w:t>
      </w:r>
      <w:r>
        <w:t xml:space="preserve">strata. A rank-location heterogeneity statistic assesses whether feature activity</w:t>
      </w:r>
      <w:r>
        <w:t xml:space="preserve"> </w:t>
      </w:r>
      <w:r>
        <w:t xml:space="preserve">differs among identities, with Holm correction across all planned programs.</w:t>
      </w:r>
      <w:r>
        <w:t xml:space="preserve"> </w:t>
      </w:r>
      <w:r>
        <w:t xml:space="preserve">Feature selection must remain invariant under these conditional permutations.</w:t>
      </w:r>
      <w:r>
        <w:t xml:space="preserve"> </w:t>
      </w:r>
      <w:r>
        <w:t xml:space="preserve">This test addresses cell-level identity heterogeneity, not pathway specificity,</w:t>
      </w:r>
      <w:r>
        <w:t xml:space="preserve"> </w:t>
      </w:r>
      <w:r>
        <w:t xml:space="preserve">mechanistic mediation, or replication across biological samples. Unequal generic</w:t>
      </w:r>
      <w:r>
        <w:t xml:space="preserve"> </w:t>
      </w:r>
      <w:r>
        <w:t xml:space="preserve">response severity can also produce heterogeneity.</w:t>
      </w:r>
    </w:p>
    <w:p>
      <w:pPr>
        <w:pStyle w:val="BodyText"/>
      </w:pPr>
      <w:r>
        <w:t xml:space="preserve">The synthetic audit compared four worlds over seeds 0–19, with 500 controls,</w:t>
      </w:r>
      <w:r>
        <w:t xml:space="preserve"> </w:t>
      </w:r>
      <w:r>
        <w:t xml:space="preserve">20 perturbation identities, 60 cells per identity, and 40 planted features. Five</w:t>
      </w:r>
      <w:r>
        <w:t xml:space="preserve"> </w:t>
      </w:r>
      <w:r>
        <w:t xml:space="preserve">markers identified the target feature. Four identities shifted that feature in</w:t>
      </w:r>
      <w:r>
        <w:t xml:space="preserve"> </w:t>
      </w:r>
      <w:r>
        <w:t xml:space="preserve">the specific-response world; all twenty shifted it identically in the generic-response</w:t>
      </w:r>
      <w:r>
        <w:t xml:space="preserve"> </w:t>
      </w:r>
      <w:r>
        <w:t xml:space="preserve">world. A null world had no shifts. In an absent-marker world, constant markers</w:t>
      </w:r>
      <w:r>
        <w:t xml:space="preserve"> </w:t>
      </w:r>
      <w:r>
        <w:t xml:space="preserve">matched no feature while the last feature had a generic response. Activations were</w:t>
      </w:r>
      <w:r>
        <w:t xml:space="preserve"> </w:t>
      </w:r>
      <w:r>
        <w:t xml:space="preserve">supplied directly; no SAE was trained. Each analysis used 99 permutations. The</w:t>
      </w:r>
      <w:r>
        <w:t xml:space="preserve"> </w:t>
      </w:r>
      <w:r>
        <w:t xml:space="preserve">legacy quantitative gates were shuffle p &lt; 0.05 and feature-background percentile</w:t>
      </w:r>
      <w:r>
        <w:t xml:space="preserve"> </w:t>
      </w:r>
      <w:r>
        <w:t xml:space="preserve">at least 90; the specification’s manual biological-coherence criterion was not</w:t>
      </w:r>
      <w:r>
        <w:t xml:space="preserve"> </w:t>
      </w:r>
      <w:r>
        <w:t xml:space="preserve">scored. The conditional reanalysis included a marker-match gate and one planned</w:t>
      </w:r>
      <w:r>
        <w:t xml:space="preserve"> </w:t>
      </w:r>
      <w:r>
        <w:t xml:space="preserve">program, so it does not benchmark multiplicity across many programs. Exact binomial</w:t>
      </w:r>
      <w:r>
        <w:t xml:space="preserve"> </w:t>
      </w:r>
      <w:r>
        <w:t xml:space="preserve">intervals summarize frequencies over simulation seeds only. Corresponding worlds</w:t>
      </w:r>
      <w:r>
        <w:t xml:space="preserve"> </w:t>
      </w:r>
      <w:r>
        <w:t xml:space="preserve">share baseline draws within seed; each scenario has twenty independent seeds, not</w:t>
      </w:r>
      <w:r>
        <w:t xml:space="preserve"> </w:t>
      </w:r>
      <w:r>
        <w:t xml:space="preserve">eighty independent replicates across the four scenarios.</w:t>
      </w:r>
    </w:p>
    <w:p>
      <w:pPr>
        <w:pStyle w:val="BodyText"/>
      </w:pPr>
      <w:r>
        <w:t xml:space="preserve">A separate fixed calibration used 200 independent null simulations, nine distinct</w:t>
      </w:r>
      <w:r>
        <w:t xml:space="preserve"> </w:t>
      </w:r>
      <w:r>
        <w:t xml:space="preserve">planned features with stipulated marker matches, and 999 permutations per simulation.</w:t>
      </w:r>
      <w:r>
        <w:t xml:space="preserve"> </w:t>
      </w:r>
      <w:r>
        <w:t xml:space="preserve">The generator supplied independent normal features. The outcome was any Holm-adjusted</w:t>
      </w:r>
      <w:r>
        <w:t xml:space="preserve"> </w:t>
      </w:r>
      <w:r>
        <w:t xml:space="preserve">rejection at familywise alpha 0.05. Five paired uniform-offset checks assessed rank</w:t>
      </w:r>
      <w:r>
        <w:t xml:space="preserve"> </w:t>
      </w:r>
      <w:r>
        <w:t xml:space="preserve">invariance; they were not additional independent simulations.</w:t>
      </w:r>
    </w:p>
    <w:p>
      <w:pPr>
        <w:pStyle w:val="BodyText"/>
      </w:pPr>
      <w:r>
        <w:t xml:space="preserve">A subsequent fixed boundary audit used 100 simulation seeds, nine stipulated</w:t>
      </w:r>
      <w:r>
        <w:t xml:space="preserve"> </w:t>
      </w:r>
      <w:r>
        <w:t xml:space="preserve">matched features and 999 permutations per identifiable analysis. Group severity</w:t>
      </w:r>
      <w:r>
        <w:t xml:space="preserve"> </w:t>
      </w:r>
      <w:r>
        <w:t xml:space="preserve">spanning 0–4 multiplied fixed feature coefficients spanning 0.5–1.5, producing a</w:t>
      </w:r>
      <w:r>
        <w:t xml:space="preserve"> </w:t>
      </w:r>
      <w:r>
        <w:t xml:space="preserve">rank-one matrix of group effects. A batch-confounded world assigned each identity</w:t>
      </w:r>
      <w:r>
        <w:t xml:space="preserve"> </w:t>
      </w:r>
      <w:r>
        <w:t xml:space="preserve">exclusively to its own offset stratum. A population-null cluster world generated</w:t>
      </w:r>
      <w:r>
        <w:t xml:space="preserve"> </w:t>
      </w:r>
      <w:r>
        <w:t xml:space="preserve">four independent normal cluster offsets per identity, ten cells per cluster and</w:t>
      </w:r>
      <w:r>
        <w:t xml:space="preserve"> </w:t>
      </w:r>
      <w:r>
        <w:t xml:space="preserve">cell noise SD 0.15. Independent-cell shuffling was compared with a separate test of</w:t>
      </w:r>
      <w:r>
        <w:t xml:space="preserve"> </w:t>
      </w:r>
      <w:r>
        <w:t xml:space="preserve">the 40 cluster means, using minimum-two-unit eligibility rather than 20 cells.</w:t>
      </w:r>
      <w:r>
        <w:t xml:space="preserve"> </w:t>
      </w:r>
      <w:r>
        <w:t xml:space="preserve">Worlds shared some baseline draws; these paired comparisons are not independent</w:t>
      </w:r>
      <w:r>
        <w:t xml:space="preserve"> </w:t>
      </w:r>
      <w:r>
        <w:t xml:space="preserve">trials. All six analyses and all 600 records were retained without tuning the test.</w:t>
      </w:r>
    </w:p>
    <w:bookmarkEnd w:id="31"/>
    <w:bookmarkStart w:id="32" w:name="Xec8cde1a989664a7b2af90624df2d3abf014c4b"/>
    <w:p>
      <w:pPr>
        <w:pStyle w:val="Heading2"/>
      </w:pPr>
      <w:r>
        <w:t xml:space="preserve">Fresh external-marker baseline and sensitivities</w:t>
      </w:r>
    </w:p>
    <w:p>
      <w:pPr>
        <w:pStyle w:val="FirstParagraph"/>
      </w:pPr>
      <w:r>
        <w:t xml:space="preserve">A separate real-data analysis used the raw Norman K562 CRISPRa counts [6]. Its plan</w:t>
      </w:r>
      <w:r>
        <w:t xml:space="preserve"> </w:t>
      </w:r>
      <w:r>
        <w:t xml:space="preserve">was declared before examining these new baseline outcomes, informed by prior</w:t>
      </w:r>
      <w:r>
        <w:t xml:space="preserve"> </w:t>
      </w:r>
      <w:r>
        <w:t xml:space="preserve">project history; this remains an exploratory continuation rather than independent</w:t>
      </w:r>
      <w:r>
        <w:t xml:space="preserve"> </w:t>
      </w:r>
      <w:r>
        <w:t xml:space="preserve">prospective confirmation. The prepared dataset contains 111,445 cells, including</w:t>
      </w:r>
      <w:r>
        <w:t xml:space="preserve"> </w:t>
      </w:r>
      <w:r>
        <w:t xml:space="preserve">11,855 controls, 57,831 single-perturbation cells and 41,759 dual-perturbation cells.</w:t>
      </w:r>
      <w:r>
        <w:t xml:space="preserve"> </w:t>
      </w:r>
      <w:r>
        <w:t xml:space="preserve">All 105 adequately sampled single-perturbation labels were analyzed, without</w:t>
      </w:r>
      <w:r>
        <w:t xml:space="preserve"> </w:t>
      </w:r>
      <w:r>
        <w:t xml:space="preserve">requiring that their own target transcript be observed.</w:t>
      </w:r>
    </w:p>
    <w:p>
      <w:pPr>
        <w:pStyle w:val="BodyText"/>
      </w:pPr>
      <w:r>
        <w:t xml:space="preserve">Duplicate symbols were summed in raw counts, reducing 33,694 columns to 33,660</w:t>
      </w:r>
      <w:r>
        <w:t xml:space="preserve"> </w:t>
      </w:r>
      <w:r>
        <w:t xml:space="preserve">unique symbols while preserving exact per-cell library totals. All-gene</w:t>
      </w:r>
      <w:r>
        <w:t xml:space="preserve"> </w:t>
      </w:r>
      <w:r>
        <w:t xml:space="preserve">normalization to 10,000 and log1p preceded marker subsetting. Within each of eight</w:t>
      </w:r>
      <w:r>
        <w:t xml:space="preserve"> </w:t>
      </w:r>
      <w:r>
        <w:t xml:space="preserve">technical gemgroups, an outcome-blind split assigned half the controls to score</w:t>
      </w:r>
      <w:r>
        <w:t xml:space="preserve"> </w:t>
      </w:r>
      <w:r>
        <w:t xml:space="preserve">fitting, yielding 5,926 discovery and 5,929 inference controls. Eligible markers</w:t>
      </w:r>
      <w:r>
        <w:t xml:space="preserve"> </w:t>
      </w:r>
      <w:r>
        <w:t xml:space="preserve">had nonzero expression in at least ten discovery controls and positive variance.</w:t>
      </w:r>
      <w:r>
        <w:t xml:space="preserve"> </w:t>
      </w:r>
      <w:r>
        <w:t xml:space="preserve">Scores averaged discovery-control-standardized marker expression with a 0.1</w:t>
      </w:r>
      <w:r>
        <w:t xml:space="preserve"> </w:t>
      </w:r>
      <w:r>
        <w:t xml:space="preserve">standard-deviation floor, requiring at least three eligible markers.</w:t>
      </w:r>
    </w:p>
    <w:p>
      <w:pPr>
        <w:pStyle w:val="BodyText"/>
      </w:pPr>
      <w:r>
        <w:t xml:space="preserve">One-sided, tie-corrected Mann–Whitney U statistics and their null variances were</w:t>
      </w:r>
      <w:r>
        <w:t xml:space="preserve"> </w:t>
      </w:r>
      <w:r>
        <w:t xml:space="preserve">summed within gemgroups; AUC was weighted by within-group comparison pairs. All</w:t>
      </w:r>
      <w:r>
        <w:t xml:space="preserve"> </w:t>
      </w:r>
      <w:r>
        <w:t xml:space="preserve">nine programs crossed with 105 perturbations entered a single BH family of 945,</w:t>
      </w:r>
      <w:r>
        <w:t xml:space="preserve"> </w:t>
      </w:r>
      <w:r>
        <w:t xml:space="preserve">including unscorable p=1 records. Activation required q &lt; 0.05 and AUC ≥ 0.55.</w:t>
      </w:r>
      <w:r>
        <w:t xml:space="preserve"> </w:t>
      </w:r>
      <w:r>
        <w:t xml:space="preserve">The target transcript was omitted where present, with at least three remaining</w:t>
      </w:r>
      <w:r>
        <w:t xml:space="preserve"> </w:t>
      </w:r>
      <w:r>
        <w:t xml:space="preserve">markers and a separate same-sized correction family. A controls-fixed identity</w:t>
      </w:r>
      <w:r>
        <w:t xml:space="preserve"> </w:t>
      </w:r>
      <w:r>
        <w:t xml:space="preserve">omnibus used 999 within-gemgroup permutations and Holm over all nine panels.</w:t>
      </w:r>
    </w:p>
    <w:p>
      <w:pPr>
        <w:pStyle w:val="BodyText"/>
      </w:pPr>
      <w:r>
        <w:t xml:space="preserve">Additional sensitivities were declared after primary outcomes and before their</w:t>
      </w:r>
      <w:r>
        <w:t xml:space="preserve"> </w:t>
      </w:r>
      <w:r>
        <w:t xml:space="preserve">own outcomes. They retained the primary scores and control split. Comparisons</w:t>
      </w:r>
      <w:r>
        <w:t xml:space="preserve"> </w:t>
      </w:r>
      <w:r>
        <w:t xml:space="preserve">used each of four negative-control construct identities, with joint BH across</w:t>
      </w:r>
      <w:r>
        <w:t xml:space="preserve"> </w:t>
      </w:r>
      <w:r>
        <w:t xml:space="preserve">all 3,780 program–perturbation–reference hypotheses. Depth matching used</w:t>
      </w:r>
      <w:r>
        <w:t xml:space="preserve"> </w:t>
      </w:r>
      <w:r>
        <w:t xml:space="preserve">within-gemgroup log-UMI quartiles learned from discovery controls, with BH over</w:t>
      </w:r>
      <w:r>
        <w:t xml:space="preserve"> </w:t>
      </w:r>
      <w:r>
        <w:t xml:space="preserve">945 comparisons. Original and target-omitted scores were corrected separately.</w:t>
      </w:r>
      <w:r>
        <w:t xml:space="preserve"> </w:t>
      </w:r>
      <w:r>
        <w:t xml:space="preserve">Depth may be a perturbation mediator, so this sensitivity can overadjust genuine</w:t>
      </w:r>
      <w:r>
        <w:t xml:space="preserve"> </w:t>
      </w:r>
      <w:r>
        <w:t xml:space="preserve">biology. Per-gemgroup effects are descriptive, not biological replication.</w:t>
      </w:r>
    </w:p>
    <w:bookmarkEnd w:id="32"/>
    <w:bookmarkStart w:id="33" w:name="direct-pca-features"/>
    <w:p>
      <w:pPr>
        <w:pStyle w:val="Heading2"/>
      </w:pPr>
      <w:r>
        <w:t xml:space="preserve">Direct PCA features</w:t>
      </w:r>
    </w:p>
    <w:p>
      <w:pPr>
        <w:pStyle w:val="FirstParagraph"/>
      </w:pPr>
      <w:r>
        <w:t xml:space="preserve">After observing the marker baseline and an explicitly interim epoch-20 SAE</w:t>
      </w:r>
      <w:r>
        <w:t xml:space="preserve"> </w:t>
      </w:r>
      <w:r>
        <w:t xml:space="preserve">inference check, we fixed a separate exploratory PCA analysis before its outcomes.</w:t>
      </w:r>
      <w:r>
        <w:t xml:space="preserve"> </w:t>
      </w:r>
      <w:r>
        <w:t xml:space="preserve">The identical normalized 111,445 × 4,081 matrix supplied 64 ordinary principal</w:t>
      </w:r>
      <w:r>
        <w:t xml:space="preserve"> </w:t>
      </w:r>
      <w:r>
        <w:t xml:space="preserve">components (randomized SVD, three power iterations, seed 0). No SAE was trained.</w:t>
      </w:r>
      <w:r>
        <w:t xml:space="preserve"> </w:t>
      </w:r>
      <w:r>
        <w:t xml:space="preserve">Both signs of each component entered the annotation search. Discovery controls</w:t>
      </w:r>
      <w:r>
        <w:t xml:space="preserve"> </w:t>
      </w:r>
      <w:r>
        <w:t xml:space="preserve">alone supplied gene associations and marker matching, with Bonferroni over all</w:t>
      </w:r>
      <w:r>
        <w:t xml:space="preserve"> </w:t>
      </w:r>
      <w:r>
        <w:t xml:space="preserve">eligible orientations; associations used the same inference controls and the</w:t>
      </w:r>
      <w:r>
        <w:t xml:space="preserve"> </w:t>
      </w:r>
      <w:r>
        <w:t xml:space="preserve">stratified test, with BH over all 945 hypotheses. Identity inference used 999</w:t>
      </w:r>
      <w:r>
        <w:t xml:space="preserve"> </w:t>
      </w:r>
      <w:r>
        <w:t xml:space="preserve">within-gemgroup permutations and Holm across all nine panels. All-cell fitting</w:t>
      </w:r>
      <w:r>
        <w:t xml:space="preserve"> </w:t>
      </w:r>
      <w:r>
        <w:t xml:space="preserve">still saw inference-control expression, so this split is not an independent</w:t>
      </w:r>
      <w:r>
        <w:t xml:space="preserve"> </w:t>
      </w:r>
      <w:r>
        <w:t xml:space="preserve">representation-training holdout. Neither capacity nor all analysis choices are</w:t>
      </w:r>
      <w:r>
        <w:t xml:space="preserve"> </w:t>
      </w:r>
      <w:r>
        <w:t xml:space="preserve">matched to the 2,048-feature primary SAE; no superiority test is asserted.</w:t>
      </w:r>
    </w:p>
    <w:p>
      <w:pPr>
        <w:pStyle w:val="BodyText"/>
      </w:pPr>
      <w:r>
        <w:t xml:space="preserve">An additional fixed rank 64 NMF fit used the same input and analysis routine, with</w:t>
      </w:r>
      <w:r>
        <w:t xml:space="preserve"> </w:t>
      </w:r>
      <w:r>
        <w:t xml:space="preserve">NNDSVDa initialization, multiplicative updates, Frobenius loss, tolerance 1e-4 and</w:t>
      </w:r>
      <w:r>
        <w:t xml:space="preserve"> </w:t>
      </w:r>
      <w:r>
        <w:t xml:space="preserve">a 200-iteration cap. Unlike PCA’s signed scores, NMF’s nonnegative scores make</w:t>
      </w:r>
      <w:r>
        <w:t xml:space="preserve"> </w:t>
      </w:r>
      <w:r>
        <w:t xml:space="preserve">negative orientations ineligible under the positive-control-activation rule.</w:t>
      </w:r>
      <w:r>
        <w:t xml:space="preserve"> </w:t>
      </w:r>
      <w:r>
        <w:t xml:space="preserve">Actual joint-fit cell factors were retained rather than recomputed with a later</w:t>
      </w:r>
      <w:r>
        <w:t xml:space="preserve"> </w:t>
      </w:r>
      <w:r>
        <w:t xml:space="preserve">transform. The cap was reached with a convergence warning; this is a limited</w:t>
      </w:r>
      <w:r>
        <w:t xml:space="preserve"> </w:t>
      </w:r>
      <w:r>
        <w:t xml:space="preserve">exploratory comparator, not a converged optimum or a definitive method ranking.</w:t>
      </w:r>
    </w:p>
    <w:p>
      <w:pPr>
        <w:pStyle w:val="BodyText"/>
      </w:pPr>
      <w:r>
        <w:t xml:space="preserve">A later bounded sensitivity used the actual capped NMF factors as custom</w:t>
      </w:r>
      <w:r>
        <w:t xml:space="preserve"> </w:t>
      </w:r>
      <w:r>
        <w:t xml:space="preserve">initialization, with the same rank, solver and tolerance and at most 800 further</w:t>
      </w:r>
      <w:r>
        <w:t xml:space="preserve"> </w:t>
      </w:r>
      <w:r>
        <w:t xml:space="preserve">iterations. This resets the solver’s initial-error stopping reference and is not</w:t>
      </w:r>
      <w:r>
        <w:t xml:space="preserve"> </w:t>
      </w:r>
      <w:r>
        <w:t xml:space="preserve">bit-identical uninterrupted continuation. The complete seven-fit family, retaining</w:t>
      </w:r>
      <w:r>
        <w:t xml:space="preserve"> </w:t>
      </w:r>
      <w:r>
        <w:t xml:space="preserve">both NMF versions, used joint BH over 6,615 associations and Holm over 63 identity</w:t>
      </w:r>
      <w:r>
        <w:t xml:space="preserve"> </w:t>
      </w:r>
      <w:r>
        <w:t xml:space="preserve">tests. Its plan preceded additional optimization and retained every outcome.</w:t>
      </w:r>
    </w:p>
    <w:bookmarkEnd w:id="33"/>
    <w:bookmarkStart w:id="34" w:name="Xb7e85fe59c376a81afb1d8f9daa82ac9fc5fa27"/>
    <w:p>
      <w:pPr>
        <w:pStyle w:val="Heading2"/>
      </w:pPr>
      <w:r>
        <w:t xml:space="preserve">Completed Norman SAE fits and phase diagnostic</w:t>
      </w:r>
    </w:p>
    <w:p>
      <w:pPr>
        <w:pStyle w:val="FirstParagraph"/>
      </w:pPr>
      <w:r>
        <w:t xml:space="preserve">Three all-cell TopK SAEs used seeds 0, 1 and 2, 2,048 features, k=32, 200 epochs,</w:t>
      </w:r>
      <w:r>
        <w:t xml:space="preserve"> </w:t>
      </w:r>
      <w:r>
        <w:t xml:space="preserve">batch size 1,024 and the same 111,445 × 4,081 input. The original program</w:t>
      </w:r>
      <w:r>
        <w:t xml:space="preserve"> </w:t>
      </w:r>
      <w:r>
        <w:t xml:space="preserve">analysis annotated features using all controls and retained per-panel legacy</w:t>
      </w:r>
      <w:r>
        <w:t xml:space="preserve"> </w:t>
      </w:r>
      <w:r>
        <w:t xml:space="preserve">association/background diagnostics. Separate conditional identity inference used</w:t>
      </w:r>
      <w:r>
        <w:t xml:space="preserve"> </w:t>
      </w:r>
      <w:r>
        <w:t xml:space="preserve">999 within-gemgroup permutations; all 27 panel-by-seed hypotheses entered joint</w:t>
      </w:r>
      <w:r>
        <w:t xml:space="preserve"> </w:t>
      </w:r>
      <w:r>
        <w:t xml:space="preserve">Holm correction. A separately declared exploratory seed trained on only 11,855</w:t>
      </w:r>
      <w:r>
        <w:t xml:space="preserve"> </w:t>
      </w:r>
      <w:r>
        <w:t xml:space="preserve">controls and encoded every cell; full-data HVG selection was retained. It is a</w:t>
      </w:r>
      <w:r>
        <w:t xml:space="preserve"> </w:t>
      </w:r>
      <w:r>
        <w:t xml:space="preserve">one-seed training-population sensitivity, not an independent validation sample.</w:t>
      </w:r>
      <w:r>
        <w:t xml:space="preserve"> </w:t>
      </w:r>
      <w:r>
        <w:t xml:space="preserve">Actual checkpoints, input/activation/model hashes, completed epochs and dimensions</w:t>
      </w:r>
      <w:r>
        <w:t xml:space="preserve"> </w:t>
      </w:r>
      <w:r>
        <w:t xml:space="preserve">were verified before archiving compact outputs. Original inference differs from</w:t>
      </w:r>
      <w:r>
        <w:t xml:space="preserve"> </w:t>
      </w:r>
      <w:r>
        <w:t xml:space="preserve">the discovery/inference split of the direct baselines.</w:t>
      </w:r>
    </w:p>
    <w:p>
      <w:pPr>
        <w:pStyle w:val="BodyText"/>
      </w:pPr>
      <w:r>
        <w:t xml:space="preserve">A later intervention-label diagnostic retained all 105 direct-name target RNA</w:t>
      </w:r>
      <w:r>
        <w:t xml:space="preserve"> </w:t>
      </w:r>
      <w:r>
        <w:t xml:space="preserve">comparisons plus four author-recorded alternative transcript labels. All-gene</w:t>
      </w:r>
      <w:r>
        <w:t xml:space="preserve"> </w:t>
      </w:r>
      <w:r>
        <w:t xml:space="preserve">normalization preceded subsetting; the existing inference controls and stratified</w:t>
      </w:r>
      <w:r>
        <w:t xml:space="preserve"> </w:t>
      </w:r>
      <w:r>
        <w:t xml:space="preserve">tests were reused. One 109-test BH family included absent p=1 records; calls also</w:t>
      </w:r>
      <w:r>
        <w:t xml:space="preserve"> </w:t>
      </w:r>
      <w:r>
        <w:t xml:space="preserve">required AUC≥.55. Alternative transcripts were not assumed equivalent genes.</w:t>
      </w:r>
      <w:r>
        <w:t xml:space="preserve"> </w:t>
      </w:r>
      <w:r>
        <w:t xml:space="preserve">No previous analysis removed labels based on this outcome-informed diagnostic.</w:t>
      </w:r>
    </w:p>
    <w:p>
      <w:pPr>
        <w:pStyle w:val="BodyText"/>
      </w:pPr>
      <w:r>
        <w:t xml:space="preserve">After observing PCA/marker score discordance, an exploratory phase diagnostic</w:t>
      </w:r>
      <w:r>
        <w:t xml:space="preserve"> </w:t>
      </w:r>
      <w:r>
        <w:t xml:space="preserve">fixed the external 43 S and 54 G2M gene lists used in the maintained Scanpy</w:t>
      </w:r>
      <w:r>
        <w:t xml:space="preserve"> </w:t>
      </w:r>
      <w:r>
        <w:t xml:space="preserve">tutorial, citing Tirosh et al. [10]. The actual list was downloaded from a pinned</w:t>
      </w:r>
      <w:r>
        <w:t xml:space="preserve"> </w:t>
      </w:r>
      <w:r>
        <w:t xml:space="preserve">Broad Institute workshop commit; the tutorial’s canonical ZIP could not be</w:t>
      </w:r>
      <w:r>
        <w:t xml:space="preserve"> </w:t>
      </w:r>
      <w:r>
        <w:t xml:space="preserve">retrieved, so canonical archive identity was not verified. Discovery controls</w:t>
      </w:r>
      <w:r>
        <w:t xml:space="preserve"> </w:t>
      </w:r>
      <w:r>
        <w:t xml:space="preserve">supplied eligibility, normalization parameters and scales as for the marker</w:t>
      </w:r>
      <w:r>
        <w:t xml:space="preserve"> </w:t>
      </w:r>
      <w:r>
        <w:t xml:space="preserve">baseline. All 105 perturbations were tested in both directions for both phases,</w:t>
      </w:r>
      <w:r>
        <w:t xml:space="preserve"> </w:t>
      </w:r>
      <w:r>
        <w:t xml:space="preserve">jointly corrected with all 945 original PCA hypotheses by Holm (1,365 tests).</w:t>
      </w:r>
      <w:r>
        <w:t xml:space="preserve"> </w:t>
      </w:r>
      <w:r>
        <w:t xml:space="preserve">Target omission was a separate same-sized family. This outcome-informed diagnostic</w:t>
      </w:r>
      <w:r>
        <w:t xml:space="preserve"> </w:t>
      </w:r>
      <w:r>
        <w:t xml:space="preserve">measures signature-score direction, not cell-cycle progression or proliferation.</w:t>
      </w:r>
    </w:p>
    <w:bookmarkEnd w:id="34"/>
    <w:bookmarkStart w:id="35" w:name="X2b5d1efe2143bbd6c774d40ad54af3ac403e6f3"/>
    <w:p>
      <w:pPr>
        <w:pStyle w:val="Heading2"/>
      </w:pPr>
      <w:r>
        <w:t xml:space="preserve">Common inference and signed-weight attribution</w:t>
      </w:r>
    </w:p>
    <w:p>
      <w:pPr>
        <w:pStyle w:val="FirstParagraph"/>
      </w:pPr>
      <w:r>
        <w:t xml:space="preserve">An exploratory harmonization was fixed after all original model/baseline/phase</w:t>
      </w:r>
      <w:r>
        <w:t xml:space="preserve"> </w:t>
      </w:r>
      <w:r>
        <w:t xml:space="preserve">outcomes, before its own results. Three all-cell SAEs, one control-only SAE,</w:t>
      </w:r>
      <w:r>
        <w:t xml:space="preserve"> </w:t>
      </w:r>
      <w:r>
        <w:t xml:space="preserve">direct PCA and capped NMF used discovery-only annotation and the same inference</w:t>
      </w:r>
      <w:r>
        <w:t xml:space="preserve"> </w:t>
      </w:r>
      <w:r>
        <w:t xml:space="preserve">controls and stratified tests. Joint BH covered all 5,670 arm-panel-perturbation</w:t>
      </w:r>
      <w:r>
        <w:t xml:space="preserve"> </w:t>
      </w:r>
      <w:r>
        <w:t xml:space="preserve">hypotheses; Holm covered all 54 arm-panel identity hypotheses, retaining unmatched</w:t>
      </w:r>
      <w:r>
        <w:t xml:space="preserve"> </w:t>
      </w:r>
      <w:r>
        <w:t xml:space="preserve">p=1 records. A pre-execution amendment fixed 9,999 identity permutations because</w:t>
      </w:r>
      <w:r>
        <w:t xml:space="preserve"> </w:t>
      </w:r>
      <w:r>
        <w:t xml:space="preserve">999 cannot resolve a first Holm rejection in 54 tests. PCA fit_transform scores</w:t>
      </w:r>
      <w:r>
        <w:t xml:space="preserve"> </w:t>
      </w:r>
      <w:r>
        <w:t xml:space="preserve">were reconstructed with exact original settings; all 945 archived AUCs, p-values,</w:t>
      </w:r>
      <w:r>
        <w:t xml:space="preserve"> </w:t>
      </w:r>
      <w:r>
        <w:t xml:space="preserve">annotations and control IDs had to reproduce within prespecified strict tolerances</w:t>
      </w:r>
      <w:r>
        <w:t xml:space="preserve"> </w:t>
      </w:r>
      <w:r>
        <w:t xml:space="preserve">before use. NMF used its actual retained joint-fit factors. No SAE/NMF was refit.</w:t>
      </w:r>
    </w:p>
    <w:p>
      <w:pPr>
        <w:pStyle w:val="BodyText"/>
      </w:pPr>
      <w:r>
        <w:t xml:space="preserve">A separately declared descriptive diagnostic decomposed component-3 score means</w:t>
      </w:r>
      <w:r>
        <w:t xml:space="preserve"> </w:t>
      </w:r>
      <w:r>
        <w:t xml:space="preserve">into every input gene’s saved weight times its within-gemgroup mean expression</w:t>
      </w:r>
      <w:r>
        <w:t xml:space="preserve"> </w:t>
      </w:r>
      <w:r>
        <w:t xml:space="preserve">change. Pair-count weights matched the stratified AUC, but the decomposition is of</w:t>
      </w:r>
      <w:r>
        <w:t xml:space="preserve"> </w:t>
      </w:r>
      <w:r>
        <w:t xml:space="preserve">means, not ranks. The later linear projection was compared with recovered original</w:t>
      </w:r>
      <w:r>
        <w:t xml:space="preserve"> </w:t>
      </w:r>
      <w:r>
        <w:t xml:space="preserve">scores using fixed fidelity bounds (normalized RMSE≤.01 and maximum AUC difference</w:t>
      </w:r>
      <w:r>
        <w:t xml:space="preserve"> </w:t>
      </w:r>
      <w:r>
        <w:t xml:space="preserve">≤.005). All 105 perturbations and 4,081 genes were retained; requested external</w:t>
      </w:r>
      <w:r>
        <w:t xml:space="preserve"> </w:t>
      </w:r>
      <w:r>
        <w:t xml:space="preserve">phase genes were separated from other genes and crossed with weight sign.</w:t>
      </w:r>
    </w:p>
    <w:bookmarkEnd w:id="35"/>
    <w:bookmarkStart w:id="36" w:name="historical-k562-program-and-robustness"/>
    <w:p>
      <w:pPr>
        <w:pStyle w:val="Heading2"/>
      </w:pPr>
      <w:r>
        <w:t xml:space="preserve">Historical K562 program and robustness</w:t>
      </w:r>
    </w:p>
    <w:p>
      <w:pPr>
        <w:pStyle w:val="FirstParagraph"/>
      </w:pPr>
      <w:r>
        <w:t xml:space="preserve">After the original comparisons, an exploratory plan fixed the exact historical</w:t>
      </w:r>
      <w:r>
        <w:t xml:space="preserve"> </w:t>
      </w:r>
      <w:r>
        <w:t xml:space="preserve">lead: HBZ, ALAS2, HBG1, HBG2, HBA1, SLC25A37, GYPB and BLVRB. This signature</w:t>
      </w:r>
      <w:r>
        <w:t xml:space="preserve"> </w:t>
      </w:r>
      <w:r>
        <w:t xml:space="preserve">was previously selected from the same Norman data; fixing it before reruns does</w:t>
      </w:r>
      <w:r>
        <w:t xml:space="preserve"> </w:t>
      </w:r>
      <w:r>
        <w:t xml:space="preserve">not create independent confirmation. The same downstream procedures added one</w:t>
      </w:r>
      <w:r>
        <w:t xml:space="preserve"> </w:t>
      </w:r>
      <w:r>
        <w:t xml:space="preserve">panel to the original nine across all seven completed learned representations</w:t>
      </w:r>
      <w:r>
        <w:t xml:space="preserve"> </w:t>
      </w:r>
      <w:r>
        <w:t xml:space="preserve">and direct marker scores. No models were refit or genes added to their fixed</w:t>
      </w:r>
      <w:r>
        <w:t xml:space="preserve"> </w:t>
      </w:r>
      <w:r>
        <w:t xml:space="preserve">input. All 945 original direct-marker comparisons, parameters and split IDs had</w:t>
      </w:r>
      <w:r>
        <w:t xml:space="preserve"> </w:t>
      </w:r>
      <w:r>
        <w:t xml:space="preserve">to reproduce before interpretation. Joint BH included all 8,400 association</w:t>
      </w:r>
      <w:r>
        <w:t xml:space="preserve"> </w:t>
      </w:r>
      <w:r>
        <w:t xml:space="preserve">hypotheses and Holm all 80 identity hypotheses, using 9,999 permutations for the</w:t>
      </w:r>
      <w:r>
        <w:t xml:space="preserve"> </w:t>
      </w:r>
      <w:r>
        <w:t xml:space="preserve">new tests. The list changes cell context and program granularity together.</w:t>
      </w:r>
    </w:p>
    <w:p>
      <w:pPr>
        <w:pStyle w:val="BodyText"/>
      </w:pPr>
      <w:r>
        <w:t xml:space="preserve">A subsequent fixed sensitivity reused the ten-panel direct scores, discovery</w:t>
      </w:r>
      <w:r>
        <w:t xml:space="preserve"> </w:t>
      </w:r>
      <w:r>
        <w:t xml:space="preserve">parameters and all 105 labels. BH covered all 4,200 control-reference comparisons</w:t>
      </w:r>
      <w:r>
        <w:t xml:space="preserve"> </w:t>
      </w:r>
      <w:r>
        <w:t xml:space="preserve">and 1,050 depth comparisons, separately for primary and target omission. The</w:t>
      </w:r>
      <w:r>
        <w:t xml:space="preserve"> </w:t>
      </w:r>
      <w:r>
        <w:t xml:space="preserve">intersection additionally required the eight-arm primary call. It is descriptive</w:t>
      </w:r>
      <w:r>
        <w:t xml:space="preserve"> </w:t>
      </w:r>
      <w:r>
        <w:t xml:space="preserve">robustness, not a new FDR guarantee. Neither these nominal corrections nor identity</w:t>
      </w:r>
      <w:r>
        <w:t xml:space="preserve"> </w:t>
      </w:r>
      <w:r>
        <w:t xml:space="preserve">permutations replay the historical signature-selection process. The complete</w:t>
      </w:r>
      <w:r>
        <w:t xml:space="preserve"> </w:t>
      </w:r>
      <w:r>
        <w:t xml:space="preserve">selection procedure has not been calibrated by these diagnostics.</w:t>
      </w:r>
    </w:p>
    <w:p>
      <w:pPr>
        <w:pStyle w:val="BodyText"/>
      </w:pPr>
      <w:r>
        <w:t xml:space="preserve">Individual-transcript and single-marker-omission diagnostics retained all</w:t>
      </w:r>
      <w:r>
        <w:t xml:space="preserve"> </w:t>
      </w:r>
      <w:r>
        <w:t xml:space="preserve">105 labels and the same eight genes. The original 8,400 comparisons plus</w:t>
      </w:r>
      <w:r>
        <w:t xml:space="preserve"> </w:t>
      </w:r>
      <w:r>
        <w:t xml:space="preserve">840 individual-transcript and 840 omission comparisons entered nominal BH over</w:t>
      </w:r>
      <w:r>
        <w:t xml:space="preserve"> </w:t>
      </w:r>
      <w:r>
        <w:t xml:space="preserve">10,080. All omission scores averaged seven genes using frozen discovery weights;</w:t>
      </w:r>
      <w:r>
        <w:t xml:space="preserve"> </w:t>
      </w:r>
      <w:r>
        <w:t xml:space="preserve">no success threshold for the number of individual gene increases was selected.</w:t>
      </w:r>
      <w:r>
        <w:t xml:space="preserve"> </w:t>
      </w:r>
      <w:r>
        <w:t xml:space="preserve">A further denominator sensitivity excluded these eight genes from library-size</w:t>
      </w:r>
      <w:r>
        <w:t xml:space="preserve"> </w:t>
      </w:r>
      <w:r>
        <w:t xml:space="preserve">normalization while retaining weights. It reproduced all 945 original gene/program</w:t>
      </w:r>
      <w:r>
        <w:t xml:space="preserve"> </w:t>
      </w:r>
      <w:r>
        <w:t xml:space="preserve">comparisons before adding 945 new comparisons to nominal BH over 11,025. Neither</w:t>
      </w:r>
      <w:r>
        <w:t xml:space="preserve"> </w:t>
      </w:r>
      <w:r>
        <w:t xml:space="preserve">normalization establishes absolute RNA abundance or same-cell coactivation.</w:t>
      </w:r>
    </w:p>
    <w:bookmarkEnd w:id="36"/>
    <w:bookmarkStart w:id="37" w:name="X11bf4bd73b9944b984c0dcfe5c3f4525cc35895"/>
    <w:p>
      <w:pPr>
        <w:pStyle w:val="Heading2"/>
      </w:pPr>
      <w:r>
        <w:t xml:space="preserve">Exploratory dual-construct marker contrasts</w:t>
      </w:r>
    </w:p>
    <w:p>
      <w:pPr>
        <w:pStyle w:val="FirstParagraph"/>
      </w:pPr>
      <w:r>
        <w:t xml:space="preserve">A later plan fixed analysis of all 131 observed double perturbations (41,759</w:t>
      </w:r>
      <w:r>
        <w:t xml:space="preserve"> </w:t>
      </w:r>
      <w:r>
        <w:t xml:space="preserve">cells), retaining the existing marker parameters and discovery/inference split.</w:t>
      </w:r>
      <w:r>
        <w:t xml:space="preserve"> </w:t>
      </w:r>
      <w:r>
        <w:t xml:space="preserve">All pairs had both sampled single arms. Within gemgroups, the contrast was</w:t>
      </w:r>
      <w:r>
        <w:t xml:space="preserve"> </w:t>
      </w:r>
      <w:r>
        <w:t xml:space="preserve">mean(AB)−mean(A)−mean(B)+mean(inference controls), weighted by usable dual-cell</w:t>
      </w:r>
      <w:r>
        <w:t xml:space="preserve"> </w:t>
      </w:r>
      <w:r>
        <w:t xml:space="preserve">counts. Scores were scaled by their discovery-control standard deviations. Each</w:t>
      </w:r>
      <w:r>
        <w:t xml:space="preserve"> </w:t>
      </w:r>
      <w:r>
        <w:t xml:space="preserve">group required at least two cells per usable stratum and 20 pooled cells, with</w:t>
      </w:r>
      <w:r>
        <w:t xml:space="preserve"> </w:t>
      </w:r>
      <w:r>
        <w:t xml:space="preserve">at least 80% dual-cell coverage. An independent-cell Welch–Satterthwaite approximation</w:t>
      </w:r>
      <w:r>
        <w:t xml:space="preserve"> </w:t>
      </w:r>
      <w:r>
        <w:t xml:space="preserve">supplied two-sided p-values and pointwise 95% intervals. Holm covered all 9 × 131</w:t>
      </w:r>
      <w:r>
        <w:t xml:space="preserve"> </w:t>
      </w:r>
      <w:r>
        <w:t xml:space="preserve">hypotheses; a flag also required absolute contrast ≥ 0.2 SD. A separate same-sized</w:t>
      </w:r>
      <w:r>
        <w:t xml:space="preserve"> </w:t>
      </w:r>
      <w:r>
        <w:t xml:space="preserve">family omitted both target transcripts, retaining at least three markers.</w:t>
      </w:r>
    </w:p>
    <w:p>
      <w:pPr>
        <w:pStyle w:val="BodyText"/>
      </w:pPr>
      <w:r>
        <w:t xml:space="preserve">After primary dual outcomes, an explicitly exploratory sensitivity retained</w:t>
      </w:r>
      <w:r>
        <w:t xml:space="preserve"> </w:t>
      </w:r>
      <w:r>
        <w:t xml:space="preserve">every pair, marker eligibility and the split, but used linear normalized</w:t>
      </w:r>
      <w:r>
        <w:t xml:space="preserve"> </w:t>
      </w:r>
      <w:r>
        <w:t xml:space="preserve">expression with its own discovery-control standardization. All original primary</w:t>
      </w:r>
      <w:r>
        <w:t xml:space="preserve"> </w:t>
      </w:r>
      <w:r>
        <w:t xml:space="preserve">estimates reproduced exactly before the sensitivity ran. Joint Holm correction</w:t>
      </w:r>
      <w:r>
        <w:t xml:space="preserve"> </w:t>
      </w:r>
      <w:r>
        <w:t xml:space="preserve">covered 2,358 scale-specific hypotheses, separately for primary and target omission.</w:t>
      </w:r>
      <w:r>
        <w:t xml:space="preserve"> </w:t>
      </w:r>
      <w:r>
        <w:t xml:space="preserve">Same-sign consistency required every correction and effect-floor rule on both</w:t>
      </w:r>
      <w:r>
        <w:t xml:space="preserve"> </w:t>
      </w:r>
      <w:r>
        <w:t xml:space="preserve">scales and their omission scores. Transformation and standardization both vary;</w:t>
      </w:r>
      <w:r>
        <w:t xml:space="preserve"> </w:t>
      </w:r>
      <w:r>
        <w:t xml:space="preserve">this does not isolate a pure log-link effect or establish independent validation.</w:t>
      </w:r>
    </w:p>
    <w:bookmarkEnd w:id="37"/>
    <w:bookmarkEnd w:id="38"/>
    <w:bookmarkStart w:id="73" w:name="results"/>
    <w:p>
      <w:pPr>
        <w:pStyle w:val="Heading1"/>
      </w:pPr>
      <w:r>
        <w:t xml:space="preserve">Results</w:t>
      </w:r>
    </w:p>
    <w:bookmarkStart w:id="39" w:name="Xd7f18dbf93480864ac8674960cd3df372ec4f60"/>
    <w:p>
      <w:pPr>
        <w:pStyle w:val="Heading2"/>
      </w:pPr>
      <w:r>
        <w:t xml:space="preserve">The original direction was unsupported in both SAE analyses</w:t>
      </w:r>
    </w:p>
    <w:p>
      <w:pPr>
        <w:pStyle w:val="FirstParagraph"/>
      </w:pPr>
      <w:r>
        <w:t xml:space="preserve">The frozen SAE decision supported the original hypothesis in 0/10 mouse seeds</w:t>
      </w:r>
      <w:r>
        <w:t xml:space="preserve"> </w:t>
      </w:r>
      <w:r>
        <w:t xml:space="preserve">and 0/10 human seeds. Median above-control panel counts were 1.5 erythroid versus</w:t>
      </w:r>
      <w:r>
        <w:t xml:space="preserve"> </w:t>
      </w:r>
      <w:r>
        <w:t xml:space="preserve">3 granulocyte in mouse, and 1 versus 2 in human. The mouse decision JSON’s prose</w:t>
      </w:r>
      <w:r>
        <w:t xml:space="preserve"> </w:t>
      </w:r>
      <w:r>
        <w:t xml:space="preserve">rounds the erythroid median to 2; the numeric field and per-seed data show 1.5,</w:t>
      </w:r>
      <w:r>
        <w:t xml:space="preserve"> </w:t>
      </w:r>
      <w:r>
        <w:t xml:space="preserve">which is the value reported here. These results reject support under the defined</w:t>
      </w:r>
      <w:r>
        <w:t xml:space="preserve"> </w:t>
      </w:r>
      <w:r>
        <w:t xml:space="preserve">rule; they do not prove that erythroid differentiation lacks distributed programs.</w:t>
      </w:r>
    </w:p>
    <w:bookmarkEnd w:id="39"/>
    <w:bookmarkStart w:id="43" w:name="X0d253fc7122fd7dcf284fd2c2ab2806caea9aed"/>
    <w:p>
      <w:pPr>
        <w:pStyle w:val="Heading2"/>
      </w:pPr>
      <w:r>
        <w:t xml:space="preserve">Structural interpretation changed across decomposition pipelines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Representation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Mouse erythroid/granulocyte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Human erythroid/granulocyte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ICA, rank 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1.5/3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Co-expression regulons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1/2</w:t>
            </w:r>
          </w:p>
        </w:tc>
      </w:tr>
    </w:tbl>
    <w:p>
      <w:pPr>
        <w:pStyle w:val="BodyText"/>
      </w:pPr>
      <w:r>
        <w:t xml:space="preserve">Only mouse NMF satisfied the original dataset-level decision, in eight of ten</w:t>
      </w:r>
      <w:r>
        <w:t xml:space="preserve"> </w:t>
      </w:r>
      <w:r>
        <w:t xml:space="preserve">seeds. Thus one of ten method-by-dataset combinations supported the claim.</w:t>
      </w:r>
      <w:r>
        <w:t xml:space="preserve"> </w:t>
      </w:r>
      <w:r>
        <w:t xml:space="preserve">The SAE-associated opposite direction was echoed by ICA but was not universal:</w:t>
      </w:r>
      <w:r>
        <w:t xml:space="preserve"> </w:t>
      </w:r>
      <w:r>
        <w:t xml:space="preserve">mouse PCA and co-expression counts tied, while human NMF detected neither lineage</w:t>
      </w:r>
      <w:r>
        <w:t xml:space="preserve"> </w:t>
      </w:r>
      <w:r>
        <w:t xml:space="preserve">above the chosen baseline. The ten comparisons are descriptive, not independent population samples. Their disagreement</w:t>
      </w:r>
      <w:r>
        <w:t xml:space="preserve"> </w:t>
      </w:r>
      <w:r>
        <w:t xml:space="preserve">demonstrates that this operational answer depends on the representation and its</w:t>
      </w:r>
      <w:r>
        <w:t xml:space="preserve"> </w:t>
      </w:r>
      <w:r>
        <w:t xml:space="preserve">associated preprocessing and capacity choices.</w:t>
      </w:r>
    </w:p>
    <w:p>
      <w:pPr>
        <w:pStyle w:val="BodyText"/>
      </w:pPr>
      <w:r>
        <w:drawing>
          <wp:inline>
            <wp:extent cx="5334000" cy="2085109"/>
            <wp:effectExtent b="0" l="0" r="0" t="0"/>
            <wp:docPr descr="Decomposition-dependent operational program counts" title="" id="41" name="Picture"/>
            <a:graphic>
              <a:graphicData uri="http://schemas.openxmlformats.org/drawingml/2006/picture">
                <pic:pic>
                  <pic:nvPicPr>
                    <pic:cNvPr descr="figures/fig_method_dependenc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 Representation dependence of the frozen counting rule.</w:t>
      </w:r>
      <w:r>
        <w:t xml:space="preserve"> </w:t>
      </w:r>
      <w:r>
        <w:t xml:space="preserve">Bars show</w:t>
      </w:r>
      <w:r>
        <w:t xml:space="preserve"> </w:t>
      </w:r>
      <w:r>
        <w:t xml:space="preserve">median erythroid minus granulocyte above-control panel counts; labels report</w:t>
      </w:r>
      <w:r>
        <w:t xml:space="preserve"> </w:t>
      </w:r>
      <w:r>
        <w:t xml:space="preserve">the two counts separately. Only mouse NMF satisfies the original decision.</w:t>
      </w:r>
      <w:r>
        <w:t xml:space="preserve"> </w:t>
      </w:r>
      <w:r>
        <w:t xml:space="preserve">The figure’s term</w:t>
      </w:r>
      <w:r>
        <w:t xml:space="preserve"> </w:t>
      </w:r>
      <w:r>
        <w:t xml:space="preserve">“</w:t>
      </w:r>
      <w:r>
        <w:t xml:space="preserve">real program</w:t>
      </w:r>
      <w:r>
        <w:t xml:space="preserve">”</w:t>
      </w:r>
      <w:r>
        <w:t xml:space="preserve"> </w:t>
      </w:r>
      <w:r>
        <w:t xml:space="preserve">denotes this operational above-control rule,</w:t>
      </w:r>
      <w:r>
        <w:t xml:space="preserve"> </w:t>
      </w:r>
      <w:r>
        <w:t xml:space="preserve">not a demonstrated biological partition. Seeds and the ten method-by-dataset</w:t>
      </w:r>
      <w:r>
        <w:t xml:space="preserve"> </w:t>
      </w:r>
      <w:r>
        <w:t xml:space="preserve">combinations are not independent biological samples. ICA uses rank 50 and</w:t>
      </w:r>
      <w:r>
        <w:t xml:space="preserve"> </w:t>
      </w:r>
      <w:r>
        <w:t xml:space="preserve">NMF/PCA preprocessing differs, as detailed in Methods.</w:t>
      </w:r>
    </w:p>
    <w:bookmarkEnd w:id="43"/>
    <w:bookmarkStart w:id="44" w:name="X9634e4a6a9b8bcda4b78679d734a04045b816b6"/>
    <w:p>
      <w:pPr>
        <w:pStyle w:val="Heading2"/>
      </w:pPr>
      <w:r>
        <w:t xml:space="preserve">Tested sensitivity analyses did not restore the original claim</w:t>
      </w:r>
    </w:p>
    <w:p>
      <w:pPr>
        <w:pStyle w:val="FirstParagraph"/>
      </w:pPr>
      <w:r>
        <w:t xml:space="preserve">None of twelve threshold combinations per dataset supported the original direction.</w:t>
      </w:r>
      <w:r>
        <w:t xml:space="preserve"> </w:t>
      </w:r>
      <w:r>
        <w:t xml:space="preserve">Marker omission changed no verdict among 34 mouse and 36 human omissions. Extending</w:t>
      </w:r>
      <w:r>
        <w:t xml:space="preserve"> </w:t>
      </w:r>
      <w:r>
        <w:t xml:space="preserve">SAE fits to twenty seeds retained the unsupported decision in both datasets; mouse</w:t>
      </w:r>
      <w:r>
        <w:t xml:space="preserve"> </w:t>
      </w:r>
      <w:r>
        <w:t xml:space="preserve">granulocyte count remained three in all twenty seeds, while human granulocyte count</w:t>
      </w:r>
      <w:r>
        <w:t xml:space="preserve"> </w:t>
      </w:r>
      <w:r>
        <w:t xml:space="preserve">remained two. Sparsity sweeps also preserved the decision. Gene-panel sweeps covered</w:t>
      </w:r>
      <w:r>
        <w:t xml:space="preserve"> </w:t>
      </w:r>
      <w:r>
        <w:t xml:space="preserve">approximately 1,000–3,000 selected genes and did not restore support. At the smallest</w:t>
      </w:r>
      <w:r>
        <w:t xml:space="preserve"> </w:t>
      </w:r>
      <w:r>
        <w:t xml:space="preserve">human panel, counts tied at one rather than reversing the unsupported hypothesis.</w:t>
      </w:r>
    </w:p>
    <w:p>
      <w:pPr>
        <w:pStyle w:val="BodyText"/>
      </w:pPr>
      <w:r>
        <w:t xml:space="preserve">These sweeps have qualifications. Fixed regularization pushed active-feature counts</w:t>
      </w:r>
      <w:r>
        <w:t xml:space="preserve"> </w:t>
      </w:r>
      <w:r>
        <w:t xml:space="preserve">outside the target quality band at gene-panel extremes. Repeated seeds assess a</w:t>
      </w:r>
      <w:r>
        <w:t xml:space="preserve"> </w:t>
      </w:r>
      <w:r>
        <w:t xml:space="preserve">fixed sample of cells. Stability of a decision can coexist with an incomplete panel,</w:t>
      </w:r>
      <w:r>
        <w:t xml:space="preserve"> </w:t>
      </w:r>
      <w:r>
        <w:t xml:space="preserve">a biased metric, or weak biological identifiability.</w:t>
      </w:r>
      <w:r>
        <w:t xml:space="preserve"> </w:t>
      </w:r>
      <w:r>
        <w:t xml:space="preserve">Displayed mouse settings are summarized in Supplementary Figure 1; the complete</w:t>
      </w:r>
      <w:r>
        <w:t xml:space="preserve"> </w:t>
      </w:r>
      <w:r>
        <w:t xml:space="preserve">human and mouse outcomes remain in the archived sensitivity artifacts.</w:t>
      </w:r>
    </w:p>
    <w:p>
      <w:pPr>
        <w:pStyle w:val="BodyText"/>
      </w:pPr>
      <w:r>
        <w:t xml:space="preserve">A secondary TRRUSTv2 [7] comparison in the human arm found curated erythroid target</w:t>
      </w:r>
      <w:r>
        <w:t xml:space="preserve"> </w:t>
      </w:r>
      <w:r>
        <w:t xml:space="preserve">enrichment in all ten SAE seeds, with median unadjusted p = 6.44 × 10^-5. This is</w:t>
      </w:r>
      <w:r>
        <w:t xml:space="preserve"> </w:t>
      </w:r>
      <w:r>
        <w:t xml:space="preserve">a structural association based on a curated database and feature selection rule,</w:t>
      </w:r>
      <w:r>
        <w:t xml:space="preserve"> </w:t>
      </w:r>
      <w:r>
        <w:t xml:space="preserve">not a perturbation experiment or proof that the identified feature implements a</w:t>
      </w:r>
      <w:r>
        <w:t xml:space="preserve"> </w:t>
      </w:r>
      <w:r>
        <w:t xml:space="preserve">particular transcription-factor mechanism.</w:t>
      </w:r>
    </w:p>
    <w:bookmarkEnd w:id="44"/>
    <w:bookmarkStart w:id="49" w:name="Xc768d6c49188ad4abad526afc9ab240c962f74d"/>
    <w:p>
      <w:pPr>
        <w:pStyle w:val="Heading2"/>
      </w:pPr>
      <w:r>
        <w:t xml:space="preserve">A generic response passed both legacy quantitative gates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Synthetic world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Legacy quantitative gates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conditional identity rejection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 specific responders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Identical response in all twenty identities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response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marker-feature match; last feature responds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0/20, all unmatched</w:t>
            </w:r>
          </w:p>
        </w:tc>
      </w:tr>
    </w:tbl>
    <w:p>
      <w:pPr>
        <w:pStyle w:val="BodyText"/>
      </w:pPr>
      <w:r>
        <w:t xml:space="preserve">The generic-response world had no identity-specific effects by construction, yet</w:t>
      </w:r>
      <w:r>
        <w:t xml:space="preserve"> </w:t>
      </w:r>
      <w:r>
        <w:t xml:space="preserve">both legacy quantitative gates passed in every seed. Consequently those two gates</w:t>
      </w:r>
      <w:r>
        <w:t xml:space="preserve"> </w:t>
      </w:r>
      <w:r>
        <w:t xml:space="preserve">are insufficient evidence for identity specificity; this does not evaluate the</w:t>
      </w:r>
      <w:r>
        <w:t xml:space="preserve"> </w:t>
      </w:r>
      <w:r>
        <w:t xml:space="preserve">unscored manual-coherence gate. The specific-response world detected all four true</w:t>
      </w:r>
      <w:r>
        <w:t xml:space="preserve"> </w:t>
      </w:r>
      <w:r>
        <w:t xml:space="preserve">responders in every seed, with one additional false-positive modulator in each of</w:t>
      </w:r>
      <w:r>
        <w:t xml:space="preserve"> </w:t>
      </w:r>
      <w:r>
        <w:t xml:space="preserve">two seeds. In the absent-marker world, historical selection returned index −1 and</w:t>
      </w:r>
      <w:r>
        <w:t xml:space="preserve"> </w:t>
      </w:r>
      <w:r>
        <w:t xml:space="preserve">silently analyzed the last feature. The current marker gate instead marked all</w:t>
      </w:r>
      <w:r>
        <w:t xml:space="preserve"> </w:t>
      </w:r>
      <w:r>
        <w:t xml:space="preserve">twenty runs unmatched, preventing that invalid interpretation.</w:t>
      </w:r>
    </w:p>
    <w:p>
      <w:pPr>
        <w:pStyle w:val="BodyText"/>
      </w:pPr>
      <w:r>
        <w:t xml:space="preserve">Exact 95% binomial intervals are 0.832–1.000 for 20/20 frequencies and 0–0.168 for</w:t>
      </w:r>
      <w:r>
        <w:t xml:space="preserve"> </w:t>
      </w:r>
      <w:r>
        <w:t xml:space="preserve">0/20 frequencies. Thus zero observed generic-response rejections does not establish</w:t>
      </w:r>
      <w:r>
        <w:t xml:space="preserve"> </w:t>
      </w:r>
      <w:r>
        <w:t xml:space="preserve">universal calibration or a precise low error rate. These are simulation-seed</w:t>
      </w:r>
      <w:r>
        <w:t xml:space="preserve"> </w:t>
      </w:r>
      <w:r>
        <w:t xml:space="preserve">intervals, not biological uncertainty. The retained</w:t>
      </w:r>
      <w:r>
        <w:t xml:space="preserve"> </w:t>
      </w:r>
      <w:hyperlink r:id="rId45">
        <w:r>
          <w:rPr>
            <w:rStyle w:val="Hyperlink"/>
          </w:rPr>
          <w:t xml:space="preserve">legacy results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current conditional reanalysis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intervals</w:t>
        </w:r>
      </w:hyperlink>
      <w:r>
        <w:t xml:space="preserve"> </w:t>
      </w:r>
      <w:r>
        <w:t xml:space="preserve">contain the numerical evidence. The inference failure concerns the interpretation</w:t>
      </w:r>
      <w:r>
        <w:t xml:space="preserve"> </w:t>
      </w:r>
      <w:r>
        <w:t xml:space="preserve">of a diagnostic, not the validity of an experimentally observed biological program.</w:t>
      </w:r>
    </w:p>
    <w:p>
      <w:pPr>
        <w:pStyle w:val="BodyText"/>
      </w:pPr>
      <w:r>
        <w:t xml:space="preserve">The separate nine-program null calibration produced 6/200 familywise rejections</w:t>
      </w:r>
      <w:r>
        <w:t xml:space="preserve"> </w:t>
      </w:r>
      <w:r>
        <w:t xml:space="preserve">(3.0%; exact 95% interval 1.11–6.42%), without evidence of excess false positives</w:t>
      </w:r>
      <w:r>
        <w:t xml:space="preserve"> </w:t>
      </w:r>
      <w:r>
        <w:t xml:space="preserve">under that generator. All five paired offset-invariance checks passed. The</w:t>
      </w:r>
      <w:r>
        <w:t xml:space="preserve"> </w:t>
      </w:r>
      <w:hyperlink r:id="rId48">
        <w:r>
          <w:rPr>
            <w:rStyle w:val="Hyperlink"/>
          </w:rPr>
          <w:t xml:space="preserve">calibration summary</w:t>
        </w:r>
      </w:hyperlink>
      <w:r>
        <w:t xml:space="preserve"> </w:t>
      </w:r>
      <w:r>
        <w:t xml:space="preserve">and its provenance record identify the exact executed sources. This finite</w:t>
      </w:r>
      <w:r>
        <w:t xml:space="preserve"> </w:t>
      </w:r>
      <w:r>
        <w:t xml:space="preserve">calibration does not validate arbitrary real-data exchangeability, marker matching,</w:t>
      </w:r>
      <w:r>
        <w:t xml:space="preserve"> </w:t>
      </w:r>
      <w:r>
        <w:t xml:space="preserve">or trained-SAE inference.</w:t>
      </w:r>
    </w:p>
    <w:bookmarkEnd w:id="49"/>
    <w:bookmarkStart w:id="55" w:name="Xbef6e759ee45ca8f8e3f658e72538ea488b9e9b"/>
    <w:p>
      <w:pPr>
        <w:pStyle w:val="Heading2"/>
      </w:pPr>
      <w:r>
        <w:t xml:space="preserve">Raw marker responses distinguish self-target signal from broader association</w:t>
      </w:r>
    </w:p>
    <w:p>
      <w:pPr>
        <w:pStyle w:val="FirstParagraph"/>
      </w:pPr>
      <w:r>
        <w:t xml:space="preserve">The fresh baseline found seven TF-panel, 37 heme-panel, 25 membrane-panel, six</w:t>
      </w:r>
      <w:r>
        <w:t xml:space="preserve"> </w:t>
      </w:r>
      <w:r>
        <w:t xml:space="preserve">granulocyte-TF and three progenitor associations among 105 single perturbations.</w:t>
      </w:r>
      <w:r>
        <w:t xml:space="preserve"> </w:t>
      </w:r>
      <w:r>
        <w:t xml:space="preserve">Cycling had no positive association under the fixed AUC criterion. Erythroid</w:t>
      </w:r>
      <w:r>
        <w:t xml:space="preserve"> </w:t>
      </w:r>
      <w:r>
        <w:t xml:space="preserve">effector, granulocyte-primary and granulocyte-secondary panels were unscorable</w:t>
      </w:r>
      <w:r>
        <w:t xml:space="preserve"> </w:t>
      </w:r>
      <w:r>
        <w:t xml:space="preserve">because only two, one and two markers, respectively, met discovery eligibility.</w:t>
      </w:r>
      <w:r>
        <w:t xml:space="preserve"> </w:t>
      </w:r>
      <w:r>
        <w:t xml:space="preserve">They are not negative biological findings.</w:t>
      </w:r>
    </w:p>
    <w:p>
      <w:pPr>
        <w:pStyle w:val="BodyText"/>
      </w:pPr>
      <w:r>
        <w:t xml:space="preserve">Target omission retained six TF-panel, 37 heme, 25 membrane, four granulocyte-TF</w:t>
      </w:r>
      <w:r>
        <w:t xml:space="preserve"> </w:t>
      </w:r>
      <w:r>
        <w:t xml:space="preserve">and three progenitor associations. Requiring the original association also to</w:t>
      </w:r>
      <w:r>
        <w:t xml:space="preserve"> </w:t>
      </w:r>
      <w:r>
        <w:t xml:space="preserve">survive depth matching and every control reference retained three, 29, 20, four</w:t>
      </w:r>
      <w:r>
        <w:t xml:space="preserve"> </w:t>
      </w:r>
      <w:r>
        <w:t xml:space="preserve">and two, respectively. These intersections are descriptive robustness, not</w:t>
      </w:r>
      <w:r>
        <w:t xml:space="preserve"> </w:t>
      </w:r>
      <w:r>
        <w:t xml:space="preserve">independent validation. All comparisons and references are archived in</w:t>
      </w:r>
      <w:r>
        <w:t xml:space="preserve"> </w:t>
      </w:r>
      <w:hyperlink r:id="rId50">
        <w:r>
          <w:rPr>
            <w:rStyle w:val="VerbatimChar"/>
          </w:rPr>
          <w:t xml:space="preserve">data_norman_continuation/</w:t>
        </w:r>
      </w:hyperlink>
      <w:r>
        <w:t xml:space="preserve">.</w:t>
      </w:r>
    </w:p>
    <w:p>
      <w:pPr>
        <w:pStyle w:val="BodyText"/>
      </w:pPr>
      <w:r>
        <w:t xml:space="preserve">KLF1 illustrates the direct-target trap. Its TF-panel AUC was 0.615, but fell to</w:t>
      </w:r>
      <w:r>
        <w:t xml:space="preserve"> </w:t>
      </w:r>
      <w:r>
        <w:t xml:space="preserve">0.425 after excluding KLF1 from its own score and no longer met the activation</w:t>
      </w:r>
      <w:r>
        <w:t xml:space="preserve"> </w:t>
      </w:r>
      <w:r>
        <w:t xml:space="preserve">criterion. Its heme and membrane AUCs were 0.626 and 0.580; those signatures do</w:t>
      </w:r>
      <w:r>
        <w:t xml:space="preserve"> </w:t>
      </w:r>
      <w:r>
        <w:t xml:space="preserve">not contain KLF1, and both survived the sensitivities. Removing CEBPA or CEBPE</w:t>
      </w:r>
      <w:r>
        <w:t xml:space="preserve"> </w:t>
      </w:r>
      <w:r>
        <w:t xml:space="preserve">left only two granulocyte-TF markers, so those omission comparisons were</w:t>
      </w:r>
      <w:r>
        <w:t xml:space="preserve"> </w:t>
      </w:r>
      <w:r>
        <w:t xml:space="preserve">unscorable rather than clean negatives.</w:t>
      </w:r>
    </w:p>
    <w:p>
      <w:pPr>
        <w:pStyle w:val="BodyText"/>
      </w:pPr>
      <w:r>
        <w:t xml:space="preserve">The target-transcript diagnostic found 90 RNA increases among all 105 direct-name</w:t>
      </w:r>
      <w:r>
        <w:t xml:space="preserve"> </w:t>
      </w:r>
      <w:r>
        <w:t xml:space="preserve">comparisons. Three direct symbols were absent and 12 observed transcripts failed</w:t>
      </w:r>
      <w:r>
        <w:t xml:space="preserve"> </w:t>
      </w:r>
      <w:r>
        <w:t xml:space="preserve">the combined effect/significance rule. Two author-recorded alternatives increased</w:t>
      </w:r>
      <w:r>
        <w:t xml:space="preserve"> </w:t>
      </w:r>
      <w:r>
        <w:t xml:space="preserve">under labels with absent direct symbols, without proving transcript equivalence</w:t>
      </w:r>
      <w:r>
        <w:t xml:space="preserve"> </w:t>
      </w:r>
      <w:r>
        <w:t xml:space="preserve">or protein function. BAK1 and BCL2L11 had direct RNA AUCs .793 and .715 despite an</w:t>
      </w:r>
      <w:r>
        <w:t xml:space="preserve"> </w:t>
      </w:r>
      <w:r>
        <w:t xml:space="preserve">unexplained original-code comment that they did not work; that comment therefore</w:t>
      </w:r>
      <w:r>
        <w:t xml:space="preserve"> </w:t>
      </w:r>
      <w:r>
        <w:t xml:space="preserve">cannot be interpreted as absent RNA induction. All 109 records are</w:t>
      </w:r>
      <w:r>
        <w:t xml:space="preserve"> </w:t>
      </w:r>
      <w:hyperlink r:id="rId51">
        <w:r>
          <w:rPr>
            <w:rStyle w:val="Hyperlink"/>
          </w:rPr>
          <w:t xml:space="preserve">retained</w:t>
        </w:r>
      </w:hyperlink>
      <w:r>
        <w:t xml:space="preserve">, with single-guide and observed-cell limits.</w:t>
      </w:r>
    </w:p>
    <w:p>
      <w:pPr>
        <w:pStyle w:val="BodyText"/>
      </w:pPr>
      <w:r>
        <w:drawing>
          <wp:inline>
            <wp:extent cx="5334000" cy="2329371"/>
            <wp:effectExtent b="0" l="0" r="0" t="0"/>
            <wp:docPr descr="Marker-score robustness and direct-target diagnostic" title="" id="53" name="Picture"/>
            <a:graphic>
              <a:graphicData uri="http://schemas.openxmlformats.org/drawingml/2006/picture">
                <pic:pic>
                  <pic:nvPicPr>
                    <pic:cNvPr descr="figures/fig_norman_marker_baselin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9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 Fixed-marker associations and an own-transcript diagnostic.</w:t>
      </w:r>
      <w:r>
        <w:t xml:space="preserve"> </w:t>
      </w:r>
      <w:r>
        <w:t xml:space="preserve">Panel A</w:t>
      </w:r>
      <w:r>
        <w:t xml:space="preserve"> </w:t>
      </w:r>
      <w:r>
        <w:t xml:space="preserve">reports counts under the primary and explicit sensitivity rules, retaining</w:t>
      </w:r>
      <w:r>
        <w:t xml:space="preserve"> </w:t>
      </w:r>
      <w:r>
        <w:t xml:space="preserve">unscorable panels. Panel B follows the existing KLF1 candidate after removing its</w:t>
      </w:r>
      <w:r>
        <w:t xml:space="preserve"> </w:t>
      </w:r>
      <w:r>
        <w:t xml:space="preserve">own transcript from the TF score; downstream panels are unchanged by that</w:t>
      </w:r>
      <w:r>
        <w:t xml:space="preserve"> </w:t>
      </w:r>
      <w:r>
        <w:t xml:space="preserve">omission. This candidate illustration is post hoc. Scores, depth adjustment and</w:t>
      </w:r>
      <w:r>
        <w:t xml:space="preserve"> </w:t>
      </w:r>
      <w:r>
        <w:t xml:space="preserve">reference intersections do not supply independent biological validation.</w:t>
      </w:r>
    </w:p>
    <w:p>
      <w:pPr>
        <w:pStyle w:val="BodyText"/>
      </w:pPr>
      <w:r>
        <w:t xml:space="preserve">CBL and PTPN12 retained heme and membrane associations across the sensitivities.</w:t>
      </w:r>
      <w:r>
        <w:t xml:space="preserve"> </w:t>
      </w:r>
      <w:r>
        <w:t xml:space="preserve">UBASH3B’s heme AUC was 0.571 against pooled inference controls, but its lowest</w:t>
      </w:r>
      <w:r>
        <w:t xml:space="preserve"> </w:t>
      </w:r>
      <w:r>
        <w:t xml:space="preserve">control-reference AUC was 0.548, below the 0.55 floor. The earlier candidate trio</w:t>
      </w:r>
      <w:r>
        <w:t xml:space="preserve"> </w:t>
      </w:r>
      <w:r>
        <w:t xml:space="preserve">therefore cannot be endorsed without qualification. All six adequately covered</w:t>
      </w:r>
      <w:r>
        <w:t xml:space="preserve"> </w:t>
      </w:r>
      <w:r>
        <w:t xml:space="preserve">panels, including Cycling, showed conditional identity heterogeneity at the</w:t>
      </w:r>
      <w:r>
        <w:t xml:space="preserve"> </w:t>
      </w:r>
      <w:r>
        <w:t xml:space="preserve">permutation floor (raw p=0.001, Holm p=0.009). This broad pattern does not establish</w:t>
      </w:r>
      <w:r>
        <w:t xml:space="preserve"> </w:t>
      </w:r>
      <w:r>
        <w:t xml:space="preserve">erythroid pathway specificity, and no SAE advantage follows from a marker baseline.</w:t>
      </w:r>
    </w:p>
    <w:bookmarkEnd w:id="55"/>
    <w:bookmarkStart w:id="57" w:name="X16bc6f9b42a1e2f69f99cff97a49cb0d325f5c3"/>
    <w:p>
      <w:pPr>
        <w:pStyle w:val="Heading2"/>
      </w:pPr>
      <w:r>
        <w:t xml:space="preserve">Ordinary PCA recovered different annotated responses</w:t>
      </w:r>
    </w:p>
    <w:p>
      <w:pPr>
        <w:pStyle w:val="FirstParagraph"/>
      </w:pPr>
      <w:r>
        <w:t xml:space="preserve">The 64 components explained 35.77% of expression variance. Ery_TF matched the</w:t>
      </w:r>
      <w:r>
        <w:t xml:space="preserve"> </w:t>
      </w:r>
      <w:r>
        <w:t xml:space="preserve">positive orientation of component 12 (zero-based), with 28 positive associations;</w:t>
      </w:r>
      <w:r>
        <w:t xml:space="preserve"> </w:t>
      </w:r>
      <w:r>
        <w:t xml:space="preserve">Cycling matched component 3, with 52. Both rejected the identity null (Holm</w:t>
      </w:r>
      <w:r>
        <w:t xml:space="preserve"> </w:t>
      </w:r>
      <w:r>
        <w:t xml:space="preserve">p=0.009). The other seven panels were unmatched and unscored, not biological</w:t>
      </w:r>
      <w:r>
        <w:t xml:space="preserve"> </w:t>
      </w:r>
      <w:r>
        <w:t xml:space="preserve">negatives. Ery_Effector’s adjusted annotation p=0.0561 failed the fixed threshold.</w:t>
      </w:r>
    </w:p>
    <w:p>
      <w:pPr>
        <w:pStyle w:val="BodyText"/>
      </w:pPr>
      <w:r>
        <w:t xml:space="preserve">The TF-matched feature’s leading associated genes include globins, mitochondrial</w:t>
      </w:r>
      <w:r>
        <w:t xml:space="preserve"> </w:t>
      </w:r>
      <w:r>
        <w:t xml:space="preserve">transcripts and LMO2. Its annotation does not make it equivalent to the direct</w:t>
      </w:r>
      <w:r>
        <w:t xml:space="preserve"> </w:t>
      </w:r>
      <w:r>
        <w:t xml:space="preserve">TF score. Similarly, 52 associations for the Cycling PCA feature coexist with</w:t>
      </w:r>
      <w:r>
        <w:t xml:space="preserve"> </w:t>
      </w:r>
      <w:r>
        <w:t xml:space="preserve">zero for the direct Cycling marker score because these are different measurements.</w:t>
      </w:r>
      <w:r>
        <w:t xml:space="preserve"> </w:t>
      </w:r>
      <w:r>
        <w:t xml:space="preserve">These results show that ordinary PCA can recover annotated identity-associated</w:t>
      </w:r>
      <w:r>
        <w:t xml:space="preserve"> </w:t>
      </w:r>
      <w:r>
        <w:t xml:space="preserve">features; they do not rank its biological fidelity or demonstrate an SAE advantage.</w:t>
      </w:r>
      <w:r>
        <w:t xml:space="preserve"> </w:t>
      </w:r>
      <w:r>
        <w:t xml:space="preserve">Complete comparisons and failures are archived alongside the marker baseline.</w:t>
      </w:r>
    </w:p>
    <w:p>
      <w:pPr>
        <w:pStyle w:val="BodyText"/>
      </w:pPr>
      <w:r>
        <w:t xml:space="preserve">The capped NMF fit matched Ery_TF, Ery_Heme, Ery_Effector and Cycling, with six,</w:t>
      </w:r>
      <w:r>
        <w:t xml:space="preserve"> </w:t>
      </w:r>
      <w:r>
        <w:t xml:space="preserve">21, 54 and zero upward associations, respectively. Other panels remained unscored.</w:t>
      </w:r>
      <w:r>
        <w:t xml:space="preserve"> </w:t>
      </w:r>
      <w:r>
        <w:t xml:space="preserve">All four matched panels rejected the identity null (Holm p=.009). Its relative</w:t>
      </w:r>
      <w:r>
        <w:t xml:space="preserve"> </w:t>
      </w:r>
      <w:r>
        <w:t xml:space="preserve">uncentered Frobenius error was 0.334, which is not comparable to PCA’s centered</w:t>
      </w:r>
      <w:r>
        <w:t xml:space="preserve"> </w:t>
      </w:r>
      <w:r>
        <w:t xml:space="preserve">explained-variance ratio. Nonconvergence, unequal capacity and different marker</w:t>
      </w:r>
      <w:r>
        <w:t xml:space="preserve"> </w:t>
      </w:r>
      <w:r>
        <w:t xml:space="preserve">eligibility prevent a superiority claim; in particular, effector matching beside</w:t>
      </w:r>
      <w:r>
        <w:t xml:space="preserve"> </w:t>
      </w:r>
      <w:r>
        <w:t xml:space="preserve">an unscorable direct score is not evidence of better biological recovery.</w:t>
      </w:r>
    </w:p>
    <w:p>
      <w:pPr>
        <w:pStyle w:val="BodyText"/>
      </w:pPr>
      <w:r>
        <w:t xml:space="preserve">The bounded warm restart met its numerical tolerance after 380 further iterations</w:t>
      </w:r>
      <w:r>
        <w:t xml:space="preserve"> </w:t>
      </w:r>
      <w:r>
        <w:t xml:space="preserve">(2,339.6 seconds with four CPU threads). Frobenius error decreased from 3,077.27</w:t>
      </w:r>
      <w:r>
        <w:t xml:space="preserve"> </w:t>
      </w:r>
      <w:r>
        <w:t xml:space="preserve">to 3,050.08, a 0.88% reduction; relative uncentered error was 0.331. The membrane</w:t>
      </w:r>
      <w:r>
        <w:t xml:space="preserve"> </w:t>
      </w:r>
      <w:r>
        <w:t xml:space="preserve">panel now matched, and seven-fit joint association counts were TF 10, heme 35,</w:t>
      </w:r>
      <w:r>
        <w:t xml:space="preserve"> </w:t>
      </w:r>
      <w:r>
        <w:t xml:space="preserve">membrane 27, effector 52 and Cycling 0. Other panels remained unscored. Matched</w:t>
      </w:r>
      <w:r>
        <w:t xml:space="preserve"> </w:t>
      </w:r>
      <w:r>
        <w:t xml:space="preserve">identity tests had Holm p=.0063 across 63 hypotheses. Numerical stopping therefore</w:t>
      </w:r>
      <w:r>
        <w:t xml:space="preserve"> </w:t>
      </w:r>
      <w:r>
        <w:t xml:space="preserve">changed annotation coverage despite a small reconstruction-error change, without</w:t>
      </w:r>
      <w:r>
        <w:t xml:space="preserve"> </w:t>
      </w:r>
      <w:r>
        <w:t xml:space="preserve">establishing a global optimum or biological method ranking. Both complete fits</w:t>
      </w:r>
      <w:r>
        <w:t xml:space="preserve"> </w:t>
      </w:r>
      <w:r>
        <w:t xml:space="preserve">and all comparisons remain</w:t>
      </w:r>
      <w:r>
        <w:t xml:space="preserve"> </w:t>
      </w:r>
      <w:hyperlink r:id="rId56">
        <w:r>
          <w:rPr>
            <w:rStyle w:val="Hyperlink"/>
          </w:rPr>
          <w:t xml:space="preserve">archived</w:t>
        </w:r>
      </w:hyperlink>
      <w:r>
        <w:t xml:space="preserve">.</w:t>
      </w:r>
    </w:p>
    <w:p>
      <w:pPr>
        <w:pStyle w:val="BodyText"/>
      </w:pPr>
      <w:r>
        <w:t xml:space="preserve">The phase diagnostic retained 42/43 S and 54/54 G2M markers. Neither signature</w:t>
      </w:r>
      <w:r>
        <w:t xml:space="preserve"> </w:t>
      </w:r>
      <w:r>
        <w:t xml:space="preserve">had an upward call; 52 S and 37 G2M decreases passed correction and target omission.</w:t>
      </w:r>
      <w:r>
        <w:t xml:space="preserve"> </w:t>
      </w:r>
      <w:r>
        <w:t xml:space="preserve">Fifty PCA Cycling-up calls remained after the new joint correction; 19 also had</w:t>
      </w:r>
      <w:r>
        <w:t xml:space="preserve"> </w:t>
      </w:r>
      <w:r>
        <w:t xml:space="preserve">decreases in both phase scores (28 in S, 21 in G2M). A finer-phase upward response</w:t>
      </w:r>
      <w:r>
        <w:t xml:space="preserve"> </w:t>
      </w:r>
      <w:r>
        <w:t xml:space="preserve">therefore did not explain the score disagreement under this rule. This is</w:t>
      </w:r>
      <w:r>
        <w:t xml:space="preserve"> </w:t>
      </w:r>
      <w:r>
        <w:t xml:space="preserve">discordance between projections, not proof of cell-cycle arrest or PCA failure.</w:t>
      </w:r>
    </w:p>
    <w:bookmarkEnd w:id="57"/>
    <w:bookmarkStart w:id="62" w:name="Xe201b0b4446e4c94048e66dc7120664779ede73"/>
    <w:p>
      <w:pPr>
        <w:pStyle w:val="Heading2"/>
      </w:pPr>
      <w:r>
        <w:t xml:space="preserve">Rank heterogeneity did not identify selective regulation or independent units</w:t>
      </w:r>
    </w:p>
    <w:p>
      <w:pPr>
        <w:pStyle w:val="FirstParagraph"/>
      </w:pPr>
      <w:r>
        <w:t xml:space="preserve">In the boundary audit, unequal generic severity made all nine features reject</w:t>
      </w:r>
      <w:r>
        <w:t xml:space="preserve"> </w:t>
      </w:r>
      <w:r>
        <w:t xml:space="preserve">in 100/100 simulations, despite rank-one group effects. This correctly detects</w:t>
      </w:r>
      <w:r>
        <w:t xml:space="preserve"> </w:t>
      </w:r>
      <w:r>
        <w:t xml:space="preserve">identity rank heterogeneity but cannot distinguish pathway-selective regulation</w:t>
      </w:r>
      <w:r>
        <w:t xml:space="preserve"> </w:t>
      </w:r>
      <w:r>
        <w:t xml:space="preserve">from generic strength differences. Identical generic responses yielded 4/100</w:t>
      </w:r>
      <w:r>
        <w:t xml:space="preserve"> </w:t>
      </w:r>
      <w:r>
        <w:t xml:space="preserve">familywise rejections (exact 95% interval 1.10–9.93%). Ignoring complete identity/batch</w:t>
      </w:r>
      <w:r>
        <w:t xml:space="preserve"> </w:t>
      </w:r>
      <w:r>
        <w:t xml:space="preserve">confounding yielded 100/100 rejections; conditioning correctly reported no</w:t>
      </w:r>
      <w:r>
        <w:t xml:space="preserve"> </w:t>
      </w:r>
      <w:r>
        <w:t xml:space="preserve">exchangeable identities and no test in every run.</w:t>
      </w:r>
    </w:p>
    <w:p>
      <w:pPr>
        <w:pStyle w:val="BodyText"/>
      </w:pPr>
      <w:r>
        <w:t xml:space="preserve">Under the clustered population null, invalid cell shuffling rejected in 100/100</w:t>
      </w:r>
      <w:r>
        <w:t xml:space="preserve"> </w:t>
      </w:r>
      <w:r>
        <w:t xml:space="preserve">simulations (interval 96.38–100%), compared with 8/100 for the separate cluster-mean</w:t>
      </w:r>
      <w:r>
        <w:t xml:space="preserve"> </w:t>
      </w:r>
      <w:r>
        <w:t xml:space="preserve">analysis (3.52–15.16%). The latter interval includes 5% but remains wide; this does</w:t>
      </w:r>
      <w:r>
        <w:t xml:space="preserve"> </w:t>
      </w:r>
      <w:r>
        <w:t xml:space="preserve">not establish universal calibration or identify experimental units in Norman.</w:t>
      </w:r>
      <w:r>
        <w:t xml:space="preserve"> </w:t>
      </w:r>
      <w:r>
        <w:t xml:space="preserve">An exchangeability assumption and a biological interpretation require distinct</w:t>
      </w:r>
      <w:r>
        <w:t xml:space="preserve"> </w:t>
      </w:r>
      <w:r>
        <w:t xml:space="preserve">justification. Full outputs are retained in the</w:t>
      </w:r>
      <w:r>
        <w:t xml:space="preserve"> </w:t>
      </w:r>
      <w:hyperlink r:id="rId58">
        <w:r>
          <w:rPr>
            <w:rStyle w:val="Hyperlink"/>
          </w:rPr>
          <w:t xml:space="preserve">boundary audit archive</w:t>
        </w:r>
      </w:hyperlink>
      <w:r>
        <w:t xml:space="preserve">.</w:t>
      </w:r>
    </w:p>
    <w:p>
      <w:pPr>
        <w:pStyle w:val="BodyText"/>
      </w:pPr>
      <w:r>
        <w:drawing>
          <wp:inline>
            <wp:extent cx="5334000" cy="3093720"/>
            <wp:effectExtent b="0" l="0" r="0" t="0"/>
            <wp:docPr descr="Fixed boundary audit" title="" id="60" name="Picture"/>
            <a:graphic>
              <a:graphicData uri="http://schemas.openxmlformats.org/drawingml/2006/picture">
                <pic:pic>
                  <pic:nvPicPr>
                    <pic:cNvPr descr="figures/fig_identity_boundarie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 Severity and exchangeability determine interpretation.</w:t>
      </w:r>
      <w:r>
        <w:t xml:space="preserve"> </w:t>
      </w:r>
      <w:r>
        <w:t xml:space="preserve">Points show</w:t>
      </w:r>
      <w:r>
        <w:t xml:space="preserve"> </w:t>
      </w:r>
      <w:r>
        <w:t xml:space="preserve">the proportion of 100 simulation seeds with any Holm rejection across nine</w:t>
      </w:r>
      <w:r>
        <w:t xml:space="preserve"> </w:t>
      </w:r>
      <w:r>
        <w:t xml:space="preserve">stipulated matched features; error bars are exact 95% binomial intervals.</w:t>
      </w:r>
      <w:r>
        <w:t xml:space="preserve"> </w:t>
      </w:r>
      <w:r>
        <w:t xml:space="preserve">Conditioned batch confounding is untestable and is shown without an interval.</w:t>
      </w:r>
      <w:r>
        <w:t xml:space="preserve"> </w:t>
      </w:r>
      <w:r>
        <w:t xml:space="preserve">The nominal 5% reference applies only to valid null worlds. Paired analyses share</w:t>
      </w:r>
      <w:r>
        <w:t xml:space="preserve"> </w:t>
      </w:r>
      <w:r>
        <w:t xml:space="preserve">draws; the independent-cluster analysis uses different units and eligibility</w:t>
      </w:r>
      <w:r>
        <w:t xml:space="preserve"> </w:t>
      </w:r>
      <w:r>
        <w:t xml:space="preserve">from the invalid cell shuffle. No model learning or biological replication is</w:t>
      </w:r>
      <w:r>
        <w:t xml:space="preserve"> </w:t>
      </w:r>
      <w:r>
        <w:t xml:space="preserve">assessed by this experiment.</w:t>
      </w:r>
    </w:p>
    <w:bookmarkEnd w:id="62"/>
    <w:bookmarkStart w:id="64" w:name="X78c38c81b60efcbea38759b1fec11469c3b6d87"/>
    <w:p>
      <w:pPr>
        <w:pStyle w:val="Heading2"/>
      </w:pPr>
      <w:r>
        <w:t xml:space="preserve">Completed SAE seeds did not produce a stable candidate passing the legacy gates</w:t>
      </w:r>
    </w:p>
    <w:p>
      <w:pPr>
        <w:pStyle w:val="FirstParagraph"/>
      </w:pPr>
      <w:r>
        <w:t xml:space="preserve">All three 200-epoch fits matched Ery_TF, Ery_Effector and Cycling. Each matched</w:t>
      </w:r>
      <w:r>
        <w:t xml:space="preserve"> </w:t>
      </w:r>
      <w:r>
        <w:t xml:space="preserve">panel had raw identity p=.001 and joint Holm p=.027 across all 27 hypotheses.</w:t>
      </w:r>
      <w:r>
        <w:t xml:space="preserve"> </w:t>
      </w:r>
      <w:r>
        <w:t xml:space="preserve">Heme and membrane, along with the remaining four panels, were unmatched in every</w:t>
      </w:r>
      <w:r>
        <w:t xml:space="preserve"> </w:t>
      </w:r>
      <w:r>
        <w:t xml:space="preserve">seed and therefore unscored. This does not imply absence of their biological</w:t>
      </w:r>
      <w:r>
        <w:t xml:space="preserve"> </w:t>
      </w:r>
      <w:r>
        <w:t xml:space="preserve">responses, which the direct marker baseline detects.</w:t>
      </w:r>
    </w:p>
    <w:p>
      <w:pPr>
        <w:pStyle w:val="BodyText"/>
      </w:pPr>
      <w:r>
        <w:t xml:space="preserve">Legacy candidate counts were 0/0/11 for TF, 1/1/1 for effector and 0/0/0 for</w:t>
      </w:r>
      <w:r>
        <w:t xml:space="preserve"> </w:t>
      </w:r>
      <w:r>
        <w:t xml:space="preserve">Cycling. KLF1 was the sole repeated candidate, but its effector background</w:t>
      </w:r>
      <w:r>
        <w:t xml:space="preserve"> </w:t>
      </w:r>
      <w:r>
        <w:t xml:space="preserve">percentiles 63/73/68 all failed the legacy 90th-percentile gate. The seed-2-only</w:t>
      </w:r>
      <w:r>
        <w:t xml:space="preserve"> </w:t>
      </w:r>
      <w:r>
        <w:t xml:space="preserve">TF list reached percentile 98 without seed agreement. No candidate combined the</w:t>
      </w:r>
      <w:r>
        <w:t xml:space="preserve"> </w:t>
      </w:r>
      <w:r>
        <w:t xml:space="preserve">background criterion and at-least-two-seed agreement; the background criterion</w:t>
      </w:r>
      <w:r>
        <w:t xml:space="preserve"> </w:t>
      </w:r>
      <w:r>
        <w:t xml:space="preserve">would not itself establish specificity even if met. The interim epoch-20 heme</w:t>
      </w:r>
      <w:r>
        <w:t xml:space="preserve"> </w:t>
      </w:r>
      <w:r>
        <w:t xml:space="preserve">annotation was absent at the declared 200-epoch endpoints; no epoch was selected</w:t>
      </w:r>
      <w:r>
        <w:t xml:space="preserve"> </w:t>
      </w:r>
      <w:r>
        <w:t xml:space="preserve">to rescue it. The control-only seed instead matched heme, effector and Cycling,</w:t>
      </w:r>
      <w:r>
        <w:t xml:space="preserve"> </w:t>
      </w:r>
      <w:r>
        <w:t xml:space="preserve">with KLF1 its sole heme candidate (background percentile 82). It demonstrates</w:t>
      </w:r>
      <w:r>
        <w:t xml:space="preserve"> </w:t>
      </w:r>
      <w:r>
        <w:t xml:space="preserve">training-population sensitivity in one seed, without identifying the best model.</w:t>
      </w:r>
      <w:r>
        <w:t xml:space="preserve"> </w:t>
      </w:r>
      <w:r>
        <w:t xml:space="preserve">All original outcomes, including annotation failures, are</w:t>
      </w:r>
      <w:r>
        <w:t xml:space="preserve"> </w:t>
      </w:r>
      <w:hyperlink r:id="rId63">
        <w:r>
          <w:rPr>
            <w:rStyle w:val="Hyperlink"/>
          </w:rPr>
          <w:t xml:space="preserve">archived</w:t>
        </w:r>
      </w:hyperlink>
      <w:r>
        <w:t xml:space="preserve">. Computational agreement is not independent</w:t>
      </w:r>
      <w:r>
        <w:t xml:space="preserve"> </w:t>
      </w:r>
      <w:r>
        <w:t xml:space="preserve">biological replication, and these counts do not establish an SAE advantage.</w:t>
      </w:r>
    </w:p>
    <w:bookmarkEnd w:id="64"/>
    <w:bookmarkStart w:id="68" w:name="Xc597b6efc4bad9fc10c946e5a0c7fdbef49dc92"/>
    <w:p>
      <w:pPr>
        <w:pStyle w:val="Heading2"/>
      </w:pPr>
      <w:r>
        <w:t xml:space="preserve">Shared labels retained different intervention responses under common inference</w:t>
      </w:r>
    </w:p>
    <w:p>
      <w:pPr>
        <w:pStyle w:val="FirstParagraph"/>
      </w:pPr>
      <w:r>
        <w:t xml:space="preserve">Every representation matched a Cycling feature under discovery-only annotation.</w:t>
      </w:r>
      <w:r>
        <w:t xml:space="preserve"> </w:t>
      </w:r>
      <w:r>
        <w:t xml:space="preserve">Only PCA had upward associations: 52, versus zero for all four SAE fits and the</w:t>
      </w:r>
      <w:r>
        <w:t xml:space="preserve"> </w:t>
      </w:r>
      <w:r>
        <w:t xml:space="preserve">capped NMF fit. Among those 52, 20 had both external phase AUCs≤.45. These are</w:t>
      </w:r>
      <w:r>
        <w:t xml:space="preserve"> </w:t>
      </w:r>
      <w:r>
        <w:t xml:space="preserve">descriptive effect directions; the separate directional Holm result above uses</w:t>
      </w:r>
      <w:r>
        <w:t xml:space="preserve"> </w:t>
      </w:r>
      <w:r>
        <w:t xml:space="preserve">a different family. Each matched panel rejected identity heterogeneity at raw</w:t>
      </w:r>
      <w:r>
        <w:t xml:space="preserve"> </w:t>
      </w:r>
      <w:r>
        <w:t xml:space="preserve">p=.0001, joint Holm p=.0054, which does not establish selective regulation.</w:t>
      </w:r>
      <w:r>
        <w:t xml:space="preserve"> </w:t>
      </w:r>
      <w:r>
        <w:t xml:space="preserve">KLF1 remained the only association shared across at least two all-cell SAE seeds.</w:t>
      </w:r>
      <w:r>
        <w:t xml:space="preserve"> </w:t>
      </w:r>
      <w:r>
        <w:t xml:space="preserve">Control-only heme matching failed the new annotation gate (adjusted p=.0990).</w:t>
      </w:r>
      <w:r>
        <w:t xml:space="preserve"> </w:t>
      </w:r>
      <w:r>
        <w:t xml:space="preserve">All 5,670 records and annotation failures are archived.</w:t>
      </w:r>
    </w:p>
    <w:p>
      <w:pPr>
        <w:pStyle w:val="BodyText"/>
      </w:pPr>
      <w:r>
        <w:drawing>
          <wp:inline>
            <wp:extent cx="5334000" cy="5482166"/>
            <wp:effectExtent b="0" l="0" r="0" t="0"/>
            <wp:docPr descr="Common downstream inference and paired score directions" title="" id="66" name="Picture"/>
            <a:graphic>
              <a:graphicData uri="http://schemas.openxmlformats.org/drawingml/2006/picture">
                <pic:pic>
                  <pic:nvPicPr>
                    <pic:cNvPr descr="figures/fig_norman_common_inferenc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 Program labels do not equate the measured responses.</w:t>
      </w:r>
      <w:r>
        <w:t xml:space="preserve"> </w:t>
      </w:r>
      <w:r>
        <w:t xml:space="preserve">Panel A counts</w:t>
      </w:r>
      <w:r>
        <w:t xml:space="preserve"> </w:t>
      </w:r>
      <w:r>
        <w:t xml:space="preserve">joint BH association calls (q&lt;.05, AUC≥.55), with U indicating an unscored panel.</w:t>
      </w:r>
      <w:r>
        <w:t xml:space="preserve"> </w:t>
      </w:r>
      <w:r>
        <w:t xml:space="preserve">Models have unequal rank, and NMF reached its iteration cap without convergence;</w:t>
      </w:r>
      <w:r>
        <w:t xml:space="preserve"> </w:t>
      </w:r>
      <w:r>
        <w:t xml:space="preserve">counts do not rank biological fidelity. Panels B and C show all 105 paired</w:t>
      </w:r>
      <w:r>
        <w:t xml:space="preserve"> </w:t>
      </w:r>
      <w:r>
        <w:t xml:space="preserve">Cycling PCA and external phase AUCs. Red points meet PCA AUC≥.55 with both phase</w:t>
      </w:r>
      <w:r>
        <w:t xml:space="preserve"> </w:t>
      </w:r>
      <w:r>
        <w:t xml:space="preserve">AUCs≤.45 (20 observations), a descriptive rule without a new significance claim.</w:t>
      </w:r>
      <w:r>
        <w:t xml:space="preserve"> </w:t>
      </w:r>
      <w:r>
        <w:t xml:space="preserve">Cells and model fits share one experiment and are not biological replications.</w:t>
      </w:r>
    </w:p>
    <w:p>
      <w:pPr>
        <w:pStyle w:val="BodyText"/>
      </w:pPr>
      <w:r>
        <w:t xml:space="preserve">The saved linear projection approximated recovered PCA scores with normalized</w:t>
      </w:r>
      <w:r>
        <w:t xml:space="preserve"> </w:t>
      </w:r>
      <w:r>
        <w:t xml:space="preserve">RMSE .000154 and maximum AUC difference .0000378, passing the fixed fidelity gate.</w:t>
      </w:r>
      <w:r>
        <w:t xml:space="preserve"> </w:t>
      </w:r>
      <w:r>
        <w:t xml:space="preserve">All 428,505 gene contributions reconstructed the 105 projected mean changes</w:t>
      </w:r>
      <w:r>
        <w:t xml:space="preserve"> </w:t>
      </w:r>
      <w:r>
        <w:t xml:space="preserve">(maximum absolute error 2.22e-16). Thirty-two of 97 external phase genes enter the</w:t>
      </w:r>
      <w:r>
        <w:t xml:space="preserve"> </w:t>
      </w:r>
      <w:r>
        <w:t xml:space="preserve">PCA input. Their net weighted contribution was negative in all 20 direction-discordant cases, while other positive-weight and other negative-weight gene</w:t>
      </w:r>
      <w:r>
        <w:t xml:space="preserve"> </w:t>
      </w:r>
      <w:r>
        <w:t xml:space="preserve">classes each contributed positively. The latter increases when its genes decrease.</w:t>
      </w:r>
      <w:r>
        <w:t xml:space="preserve"> </w:t>
      </w:r>
      <w:r>
        <w:t xml:space="preserve">This post hoc partition summary explains score means without attributing ranks,</w:t>
      </w:r>
      <w:r>
        <w:t xml:space="preserve"> </w:t>
      </w:r>
      <w:r>
        <w:t xml:space="preserve">phase progression, cellular mechanism or superiority to the result. Across all</w:t>
      </w:r>
      <w:r>
        <w:t xml:space="preserve"> </w:t>
      </w:r>
      <w:r>
        <w:t xml:space="preserve">105 perturbations, 94 had positive negative-weight sums; this algebra is not unique</w:t>
      </w:r>
      <w:r>
        <w:t xml:space="preserve"> </w:t>
      </w:r>
      <w:r>
        <w:t xml:space="preserve">to the selected cases. Complete partitions and every gene contribution are retained.</w:t>
      </w:r>
    </w:p>
    <w:bookmarkEnd w:id="68"/>
    <w:bookmarkStart w:id="70" w:name="Xffa9122024f6da4cc5c2fc81695e9b86d6c4737"/>
    <w:p>
      <w:pPr>
        <w:pStyle w:val="Heading2"/>
      </w:pPr>
      <w:r>
        <w:t xml:space="preserve">The historical broad K562 program recovered associations across methods</w:t>
      </w:r>
    </w:p>
    <w:p>
      <w:pPr>
        <w:pStyle w:val="FirstParagraph"/>
      </w:pPr>
      <w:r>
        <w:t xml:space="preserve">All eight historical genes were present in the fixed model input and met direct-score eligibility. The new program matched every representation. Under the joint</w:t>
      </w:r>
      <w:r>
        <w:t xml:space="preserve"> </w:t>
      </w:r>
      <w:r>
        <w:t xml:space="preserve">8,400-test association family, all-cell SAE seeds yielded 63, 61, 61 calls; 60 candidates</w:t>
      </w:r>
      <w:r>
        <w:t xml:space="preserve"> </w:t>
      </w:r>
      <w:r>
        <w:t xml:space="preserve">appeared in all three and 62 in at least two. Direct scores yielded 57, ordinary</w:t>
      </w:r>
      <w:r>
        <w:t xml:space="preserve"> </w:t>
      </w:r>
      <w:r>
        <w:t xml:space="preserve">PCA 65, capped/warm NMF 54/52 and one control-only SAE 8. Each historical-program</w:t>
      </w:r>
      <w:r>
        <w:t xml:space="preserve"> </w:t>
      </w:r>
      <w:r>
        <w:t xml:space="preserve">identity test had Holm p=.008 across all 80 hypotheses. Agreement concerns models</w:t>
      </w:r>
      <w:r>
        <w:t xml:space="preserve"> </w:t>
      </w:r>
      <w:r>
        <w:t xml:space="preserve">of shared cells and does not constitute biological replication or an SAE advantage.</w:t>
      </w:r>
    </w:p>
    <w:p>
      <w:pPr>
        <w:pStyle w:val="BodyText"/>
      </w:pPr>
      <w:r>
        <w:t xml:space="preserve">CBL, UBASH3B and PTPN12 appeared in every all-cell seed, both NMF fits, PCA and</w:t>
      </w:r>
      <w:r>
        <w:t xml:space="preserve"> </w:t>
      </w:r>
      <w:r>
        <w:t xml:space="preserve">direct scores. Their all-cell SAE AUC ranges were .759–.762, .699–.701 and</w:t>
      </w:r>
      <w:r>
        <w:t xml:space="preserve"> </w:t>
      </w:r>
      <w:r>
        <w:t xml:space="preserve">.778–.784; direct-score AUCs were .748, .698 and .753. The control-only fit gave</w:t>
      </w:r>
      <w:r>
        <w:t xml:space="preserve"> </w:t>
      </w:r>
      <w:r>
        <w:t xml:space="preserve">.535, .517 and .538, below the .55 effect floor. One control-only seed cannot</w:t>
      </w:r>
      <w:r>
        <w:t xml:space="preserve"> </w:t>
      </w:r>
      <w:r>
        <w:t xml:space="preserve">establish general failure of that training approach.</w:t>
      </w:r>
    </w:p>
    <w:p>
      <w:pPr>
        <w:pStyle w:val="BodyText"/>
      </w:pPr>
      <w:r>
        <w:t xml:space="preserve">Thirty-nine of 57 direct-score calls survived primary, target omission, depth</w:t>
      </w:r>
      <w:r>
        <w:t xml:space="preserve"> </w:t>
      </w:r>
      <w:r>
        <w:t xml:space="preserve">matching and all four control references. All three historical candidates and</w:t>
      </w:r>
      <w:r>
        <w:t xml:space="preserve"> </w:t>
      </w:r>
      <w:r>
        <w:t xml:space="preserve">KLF1 remained; minimum reference AUCs were .679, .616, .683 and .814, respectively.</w:t>
      </w:r>
      <w:r>
        <w:t xml:space="preserve"> </w:t>
      </w:r>
      <w:r>
        <w:t xml:space="preserve">Their depth-matched AUCs were .750, .701, .753 and .862. These targets are not</w:t>
      </w:r>
      <w:r>
        <w:t xml:space="preserve"> </w:t>
      </w:r>
      <w:r>
        <w:t xml:space="preserve">signature genes, so their target-omission score is unchanged. Full outcomes and</w:t>
      </w:r>
      <w:r>
        <w:t xml:space="preserve"> </w:t>
      </w:r>
      <w:r>
        <w:t xml:space="preserve">all references are</w:t>
      </w:r>
      <w:r>
        <w:t xml:space="preserve"> </w:t>
      </w:r>
      <w:hyperlink r:id="rId69">
        <w:r>
          <w:rPr>
            <w:rStyle w:val="Hyperlink"/>
          </w:rPr>
          <w:t xml:space="preserve">archived</w:t>
        </w:r>
      </w:hyperlink>
      <w:r>
        <w:t xml:space="preserve">.</w:t>
      </w:r>
    </w:p>
    <w:p>
      <w:pPr>
        <w:pStyle w:val="BodyText"/>
      </w:pPr>
      <w:r>
        <w:t xml:space="preserve">Single-gene omissions retained 46 of 57 primary direct-score calls; 38 also</w:t>
      </w:r>
      <w:r>
        <w:t xml:space="preserve"> </w:t>
      </w:r>
      <w:r>
        <w:t xml:space="preserve">survived all preceding reference/depth checks. CBL, UBASH3B and PTPN12 met the</w:t>
      </w:r>
      <w:r>
        <w:t xml:space="preserve"> </w:t>
      </w:r>
      <w:r>
        <w:t xml:space="preserve">RNA-increase criterion for all eight individual genes and every omission score.</w:t>
      </w:r>
      <w:r>
        <w:t xml:space="preserve"> </w:t>
      </w:r>
      <w:r>
        <w:t xml:space="preserve">Their lowest omission AUCs were .729, .684 and .724. KLF1 passed all omissions</w:t>
      </w:r>
      <w:r>
        <w:t xml:space="preserve"> </w:t>
      </w:r>
      <w:r>
        <w:t xml:space="preserve">but seven individual transcripts, with GYPB AUC .519 below the .55 effect floor.</w:t>
      </w:r>
      <w:r>
        <w:t xml:space="preserve"> </w:t>
      </w:r>
      <w:r>
        <w:t xml:space="preserve">Excluding signature genes from the denominator left 57 aggregate calls and moved</w:t>
      </w:r>
      <w:r>
        <w:t xml:space="preserve"> </w:t>
      </w:r>
      <w:r>
        <w:t xml:space="preserve">KLF1 GYPB only to .521. This particular compositional adjustment does not explain</w:t>
      </w:r>
      <w:r>
        <w:t xml:space="preserve"> </w:t>
      </w:r>
      <w:r>
        <w:t xml:space="preserve">that threshold result; it does not prove absent GYPB response or absolute</w:t>
      </w:r>
      <w:r>
        <w:t xml:space="preserve"> </w:t>
      </w:r>
      <w:r>
        <w:t xml:space="preserve">transcriptional differences. All 105 labels and all original/new comparisons</w:t>
      </w:r>
      <w:r>
        <w:t xml:space="preserve"> </w:t>
      </w:r>
      <w:r>
        <w:t xml:space="preserve">remain archived, including unfavorable outcomes.</w:t>
      </w:r>
    </w:p>
    <w:p>
      <w:pPr>
        <w:pStyle w:val="BodyText"/>
      </w:pPr>
      <w:r>
        <w:t xml:space="preserve">This broader list combines biosynthetic and effector genes and contains fetal/</w:t>
      </w:r>
      <w:r>
        <w:t xml:space="preserve"> </w:t>
      </w:r>
      <w:r>
        <w:t xml:space="preserve">embryonic globins. The analysis therefore cannot isolate cell context from</w:t>
      </w:r>
      <w:r>
        <w:t xml:space="preserve"> </w:t>
      </w:r>
      <w:r>
        <w:t xml:space="preserve">program granularity or establish recovery of a distinct heme submodule. Its</w:t>
      </w:r>
      <w:r>
        <w:t xml:space="preserve"> </w:t>
      </w:r>
      <w:r>
        <w:t xml:space="preserve">historical selection and shared observed cells further limit inference. The</w:t>
      </w:r>
      <w:r>
        <w:t xml:space="preserve"> </w:t>
      </w:r>
      <w:r>
        <w:t xml:space="preserve">positive association recovery is compatible with the original nine-panel match</w:t>
      </w:r>
      <w:r>
        <w:t xml:space="preserve"> </w:t>
      </w:r>
      <w:r>
        <w:t xml:space="preserve">failures; neither result identifies a new pathway-specific regulator.</w:t>
      </w:r>
    </w:p>
    <w:bookmarkEnd w:id="70"/>
    <w:bookmarkStart w:id="72" w:name="Xb53d2fc2be24b863c7af52d7860c76a9ffa4a90"/>
    <w:p>
      <w:pPr>
        <w:pStyle w:val="Heading2"/>
      </w:pPr>
      <w:r>
        <w:t xml:space="preserve">Additive departures depended on the marker panel and score scale</w:t>
      </w:r>
    </w:p>
    <w:p>
      <w:pPr>
        <w:pStyle w:val="FirstParagraph"/>
      </w:pPr>
      <w:r>
        <w:t xml:space="preserve">The dual screen retained 25 heme contrasts after the target-omission rule</w:t>
      </w:r>
      <w:r>
        <w:t xml:space="preserve"> </w:t>
      </w:r>
      <w:r>
        <w:t xml:space="preserve">(17 above additive, 8 below), eight membrane (six above, two below), six granulocyte-TF</w:t>
      </w:r>
      <w:r>
        <w:t xml:space="preserve"> </w:t>
      </w:r>
      <w:r>
        <w:t xml:space="preserve">(one above, five below), 11 progenitor (eight above, three below), and ten Cycling</w:t>
      </w:r>
      <w:r>
        <w:t xml:space="preserve"> </w:t>
      </w:r>
      <w:r>
        <w:t xml:space="preserve">(nine above, one below). The TF panel retained none and three low-coverage panels</w:t>
      </w:r>
      <w:r>
        <w:t xml:space="preserve"> </w:t>
      </w:r>
      <w:r>
        <w:t xml:space="preserve">remained unscored. Target omission leaves heme scores unchanged because its</w:t>
      </w:r>
      <w:r>
        <w:t xml:space="preserve"> </w:t>
      </w:r>
      <w:r>
        <w:t xml:space="preserve">markers are not the perturbed targets; this is not extra independent evidence.</w:t>
      </w:r>
    </w:p>
    <w:p>
      <w:pPr>
        <w:pStyle w:val="BodyText"/>
      </w:pPr>
      <w:r>
        <w:t xml:space="preserve">The joint log/linear sensitivity retained 21 heme (14 above/seven below), six</w:t>
      </w:r>
      <w:r>
        <w:t xml:space="preserve"> </w:t>
      </w:r>
      <w:r>
        <w:t xml:space="preserve">membrane (four above/two below), six granulocyte-TF (one above/five below), four</w:t>
      </w:r>
      <w:r>
        <w:t xml:space="preserve"> </w:t>
      </w:r>
      <w:r>
        <w:t xml:space="preserve">progenitor (all above) and six Cycling (five above/one below) contrasts. The</w:t>
      </w:r>
      <w:r>
        <w:t xml:space="preserve"> </w:t>
      </w:r>
      <w:r>
        <w:t xml:space="preserve">preidentified known-context pair CBL+CNN1 had heme contrasts 0.877 SD on the log</w:t>
      </w:r>
      <w:r>
        <w:t xml:space="preserve"> </w:t>
      </w:r>
      <w:r>
        <w:t xml:space="preserve">score and 1.995 SD on the linear score (joint corrected p&lt;1e-8 on both), while its</w:t>
      </w:r>
      <w:r>
        <w:t xml:space="preserve"> </w:t>
      </w:r>
      <w:r>
        <w:t xml:space="preserve">membrane comparison remained unflagged. Norman et al. [6] already reported its</w:t>
      </w:r>
      <w:r>
        <w:t xml:space="preserve"> </w:t>
      </w:r>
      <w:r>
        <w:t xml:space="preserve">erythroid synergy, so this is contextual recovery in the same data, not new biology.</w:t>
      </w:r>
      <w:r>
        <w:t xml:space="preserve"> </w:t>
      </w:r>
      <w:r>
        <w:t xml:space="preserve">Full outputs, all failures and every joint p-value are retained in</w:t>
      </w:r>
      <w:r>
        <w:t xml:space="preserve"> </w:t>
      </w:r>
      <w:hyperlink r:id="rId71">
        <w:r>
          <w:rPr>
            <w:rStyle w:val="Hyperlink"/>
          </w:rPr>
          <w:t xml:space="preserve">the dual-marker archive</w:t>
        </w:r>
      </w:hyperlink>
      <w:r>
        <w:t xml:space="preserve">.</w:t>
      </w:r>
    </w:p>
    <w:p>
      <w:pPr>
        <w:pStyle w:val="BodyText"/>
      </w:pPr>
      <w:r>
        <w:t xml:space="preserve">These are score-scale additive departures. Nonlinear transformation, library</w:t>
      </w:r>
      <w:r>
        <w:t xml:space="preserve"> </w:t>
      </w:r>
      <w:r>
        <w:t xml:space="preserve">composition, saturation, state mixtures and construct effects remain explanations;</w:t>
      </w:r>
      <w:r>
        <w:t xml:space="preserve"> </w:t>
      </w:r>
      <w:r>
        <w:t xml:space="preserve">the independent-cell standard errors do not repair unobserved experimental-unit</w:t>
      </w:r>
      <w:r>
        <w:t xml:space="preserve"> </w:t>
      </w:r>
      <w:r>
        <w:t xml:space="preserve">dependence. We do not call these validated molecular genetic interactions or</w:t>
      </w:r>
      <w:r>
        <w:t xml:space="preserve"> </w:t>
      </w:r>
      <w:r>
        <w:t xml:space="preserve">interpret larger standardized effects across scales as stronger biological synergy.</w:t>
      </w:r>
    </w:p>
    <w:bookmarkEnd w:id="72"/>
    <w:bookmarkEnd w:id="73"/>
    <w:bookmarkStart w:id="74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preserved evidence supports a narrower conclusion than either the original</w:t>
      </w:r>
      <w:r>
        <w:t xml:space="preserve"> </w:t>
      </w:r>
      <w:r>
        <w:t xml:space="preserve">asymmetry story or its reversal: program counts produced by this metric depend on</w:t>
      </w:r>
      <w:r>
        <w:t xml:space="preserve"> </w:t>
      </w:r>
      <w:r>
        <w:t xml:space="preserve">the chosen decomposition pipeline. Robustness within an SAE does not establish</w:t>
      </w:r>
      <w:r>
        <w:t xml:space="preserve"> </w:t>
      </w:r>
      <w:r>
        <w:t xml:space="preserve">invariance across models. Conversely, disagreement does not identify which method</w:t>
      </w:r>
      <w:r>
        <w:t xml:space="preserve"> </w:t>
      </w:r>
      <w:r>
        <w:t xml:space="preserve">is closest to a true biological organization. Methods can emphasize complementary</w:t>
      </w:r>
      <w:r>
        <w:t xml:space="preserve"> </w:t>
      </w:r>
      <w:r>
        <w:t xml:space="preserve">levels of a hierarchy, and rank or preprocessing differences can change resolution.</w:t>
      </w:r>
      <w:r>
        <w:t xml:space="preserve"> </w:t>
      </w:r>
      <w:r>
        <w:t xml:space="preserve">These results support operational dependence, not universal artifact claims or</w:t>
      </w:r>
      <w:r>
        <w:t xml:space="preserve"> </w:t>
      </w:r>
      <w:r>
        <w:t xml:space="preserve">absence of biological modules.</w:t>
      </w:r>
    </w:p>
    <w:p>
      <w:pPr>
        <w:pStyle w:val="BodyText"/>
      </w:pPr>
      <w:r>
        <w:t xml:space="preserve">A diagnostic can measure a real response while answering the wrong question.</w:t>
      </w:r>
      <w:r>
        <w:t xml:space="preserve"> </w:t>
      </w:r>
      <w:r>
        <w:t xml:space="preserve">Concentration of a generic response in an erythroid-like feature would not establish</w:t>
      </w:r>
      <w:r>
        <w:t xml:space="preserve"> </w:t>
      </w:r>
      <w:r>
        <w:t xml:space="preserve">a distinct set of erythroid regulators. Conditional</w:t>
      </w:r>
      <w:r>
        <w:t xml:space="preserve"> </w:t>
      </w:r>
      <w:r>
        <w:t xml:space="preserve">identity heterogeneity is a more targeted question, but still admits differences</w:t>
      </w:r>
      <w:r>
        <w:t xml:space="preserve"> </w:t>
      </w:r>
      <w:r>
        <w:t xml:space="preserve">in stress severity, guide quality, or cell-state composition. Establishing pathway</w:t>
      </w:r>
      <w:r>
        <w:t xml:space="preserve"> </w:t>
      </w:r>
      <w:r>
        <w:t xml:space="preserve">specificity requires matched generic-response controls, appropriate gene-expression</w:t>
      </w:r>
      <w:r>
        <w:t xml:space="preserve"> </w:t>
      </w:r>
      <w:r>
        <w:t xml:space="preserve">baselines, and independent evidence.</w:t>
      </w:r>
    </w:p>
    <w:p>
      <w:pPr>
        <w:pStyle w:val="BodyText"/>
      </w:pPr>
      <w:r>
        <w:t xml:space="preserve">Control-associated gene annotations also leave intervention directions unspecified.</w:t>
      </w:r>
      <w:r>
        <w:t xml:space="preserve"> </w:t>
      </w:r>
      <w:r>
        <w:t xml:space="preserve">The Cycling example persists after downstream control/test procedures are</w:t>
      </w:r>
      <w:r>
        <w:t xml:space="preserve"> </w:t>
      </w:r>
      <w:r>
        <w:t xml:space="preserve">harmonized, and its signed-weight explanation remains close to the original</w:t>
      </w:r>
      <w:r>
        <w:t xml:space="preserve"> </w:t>
      </w:r>
      <w:r>
        <w:t xml:space="preserve">randomized-SVD scores. This does not identify a defective algorithm: covariance,</w:t>
      </w:r>
      <w:r>
        <w:t xml:space="preserve"> </w:t>
      </w:r>
      <w:r>
        <w:t xml:space="preserve">gene coverage and different objectives can produce different valid projections.</w:t>
      </w:r>
      <w:r>
        <w:t xml:space="preserve"> </w:t>
      </w:r>
      <w:r>
        <w:t xml:space="preserve">It does show why a named latent feature should not be treated as interchangeable</w:t>
      </w:r>
      <w:r>
        <w:t xml:space="preserve"> </w:t>
      </w:r>
      <w:r>
        <w:t xml:space="preserve">with direct signature activation without checking the measured responses.</w:t>
      </w:r>
    </w:p>
    <w:p>
      <w:pPr>
        <w:pStyle w:val="BodyText"/>
      </w:pPr>
      <w:r>
        <w:t xml:space="preserve">Historical causal work in this project cannot settle those questions. All-cell</w:t>
      </w:r>
      <w:r>
        <w:t xml:space="preserve"> </w:t>
      </w:r>
      <w:r>
        <w:t xml:space="preserve">SAE training included perturbed cells even when earlier text specified control-only</w:t>
      </w:r>
      <w:r>
        <w:t xml:space="preserve"> </w:t>
      </w:r>
      <w:r>
        <w:t xml:space="preserve">training. Matching/test cross-fitting did not create an independent model-training</w:t>
      </w:r>
      <w:r>
        <w:t xml:space="preserve"> </w:t>
      </w:r>
      <w:r>
        <w:t xml:space="preserve">holdout. The causal representation ladder also trained an SAE on PCA/NMF inputs;</w:t>
      </w:r>
      <w:r>
        <w:t xml:space="preserve"> </w:t>
      </w:r>
      <w:r>
        <w:t xml:space="preserve">it did not directly compare SAE features with plain PCA or NMF features. Together</w:t>
      </w:r>
      <w:r>
        <w:t xml:space="preserve"> </w:t>
      </w:r>
      <w:r>
        <w:t xml:space="preserve">with missing original outputs, these issues prevent the historical experiments</w:t>
      </w:r>
      <w:r>
        <w:t xml:space="preserve"> </w:t>
      </w:r>
      <w:r>
        <w:t xml:space="preserve">from supporting a publication claim of causal superiority. A matched embedding arm,</w:t>
      </w:r>
      <w:r>
        <w:t xml:space="preserve"> </w:t>
      </w:r>
      <w:r>
        <w:t xml:space="preserve">held-out validation, and durable evidence capture remain required experiments.</w:t>
      </w:r>
    </w:p>
    <w:bookmarkEnd w:id="74"/>
    <w:bookmarkStart w:id="76" w:name="limitations-and-next-experiments"/>
    <w:p>
      <w:pPr>
        <w:pStyle w:val="Heading1"/>
      </w:pPr>
      <w:r>
        <w:t xml:space="preserve">Limitations and next experiments</w:t>
      </w:r>
    </w:p>
    <w:p>
      <w:pPr>
        <w:pStyle w:val="FirstParagraph"/>
      </w:pPr>
      <w:r>
        <w:t xml:space="preserve">There is one biological dataset per species, and human CD34+ selection restricts</w:t>
      </w:r>
      <w:r>
        <w:t xml:space="preserve"> </w:t>
      </w:r>
      <w:r>
        <w:t xml:space="preserve">the states observed. Predetermined, unequal lineage panel collections constrain the</w:t>
      </w:r>
      <w:r>
        <w:t xml:space="preserve"> </w:t>
      </w:r>
      <w:r>
        <w:t xml:space="preserve">counting measure. Matching on decoder mass is not a universal biological null, and</w:t>
      </w:r>
      <w:r>
        <w:t xml:space="preserve"> </w:t>
      </w:r>
      <w:r>
        <w:t xml:space="preserve">shared significance across seeds limits independence. NMF rectification, unequal</w:t>
      </w:r>
      <w:r>
        <w:t xml:space="preserve"> </w:t>
      </w:r>
      <w:r>
        <w:t xml:space="preserve">ICA rank, and deterministic comparator fits complicate attribution to algorithms</w:t>
      </w:r>
      <w:r>
        <w:t xml:space="preserve"> </w:t>
      </w:r>
      <w:r>
        <w:t xml:space="preserve">alone. Biological effect sizes and uncertainty across independent samples are not</w:t>
      </w:r>
      <w:r>
        <w:t xml:space="preserve"> </w:t>
      </w:r>
      <w:r>
        <w:t xml:space="preserve">available from these summaries.</w:t>
      </w:r>
    </w:p>
    <w:p>
      <w:pPr>
        <w:pStyle w:val="BodyText"/>
      </w:pPr>
      <w:r>
        <w:t xml:space="preserve">The boundary audit now includes graded generic severity, nine programs and</w:t>
      </w:r>
      <w:r>
        <w:t xml:space="preserve"> </w:t>
      </w:r>
      <w:r>
        <w:t xml:space="preserve">cluster dependence. Full-size SAE fitting and the exploratory common-inference</w:t>
      </w:r>
      <w:r>
        <w:t xml:space="preserve"> </w:t>
      </w:r>
      <w:r>
        <w:t xml:space="preserve">comparison are complete. Priority validation needs defensible guide or sample</w:t>
      </w:r>
      <w:r>
        <w:t xml:space="preserve"> </w:t>
      </w:r>
      <w:r>
        <w:t xml:space="preserve">structure and independent datasets. Norman</w:t>
      </w:r>
      <w:r>
        <w:t xml:space="preserve"> </w:t>
      </w:r>
      <w:r>
        <w:t xml:space="preserve">construct strings often reflect vector orientation rather than independent</w:t>
      </w:r>
      <w:r>
        <w:t xml:space="preserve"> </w:t>
      </w:r>
      <w:r>
        <w:t xml:space="preserve">sgRNA reagents; they must not be treated as biological replicates.</w:t>
      </w:r>
      <w:r>
        <w:t xml:space="preserve"> </w:t>
      </w:r>
      <w:r>
        <w:t xml:space="preserve">Independent dataset replication and primary-literature review are needed before</w:t>
      </w:r>
      <w:r>
        <w:t xml:space="preserve"> </w:t>
      </w:r>
      <w:r>
        <w:t xml:space="preserve">any potentially interesting modulator can be characterized as new biology. None</w:t>
      </w:r>
      <w:r>
        <w:t xml:space="preserve"> </w:t>
      </w:r>
      <w:r>
        <w:t xml:space="preserve">of these future outcomes is assumed in this draft.</w:t>
      </w:r>
    </w:p>
    <w:p>
      <w:pPr>
        <w:pStyle w:val="BodyText"/>
      </w:pPr>
      <w:r>
        <w:t xml:space="preserve">Known biology also limits novelty: the original Norman abstract explicitly reports</w:t>
      </w:r>
      <w:r>
        <w:t xml:space="preserve"> </w:t>
      </w:r>
      <w:r>
        <w:t xml:space="preserve">CBL/CNN1 synergy driving erythroid differentiation [6]. Prior work links FLI1 and</w:t>
      </w:r>
      <w:r>
        <w:t xml:space="preserve"> </w:t>
      </w:r>
      <w:r>
        <w:t xml:space="preserve">UBASH3B in erythroleukemia, using interventions and endpoints different from our</w:t>
      </w:r>
      <w:r>
        <w:t xml:space="preserve"> </w:t>
      </w:r>
      <w:r>
        <w:t xml:space="preserve">CRISPRa marker-score analysis [8]. Neither source independently validates our</w:t>
      </w:r>
      <w:r>
        <w:t xml:space="preserve"> </w:t>
      </w:r>
      <w:r>
        <w:t xml:space="preserve">scores. The</w:t>
      </w:r>
      <w:r>
        <w:t xml:space="preserve"> </w:t>
      </w:r>
      <w:hyperlink r:id="rId75">
        <w:r>
          <w:rPr>
            <w:rStyle w:val="Hyperlink"/>
          </w:rPr>
          <w:t xml:space="preserve">targeted literature review</w:t>
        </w:r>
      </w:hyperlink>
      <w:r>
        <w:t xml:space="preserve"> </w:t>
      </w:r>
      <w:r>
        <w:t xml:space="preserve">documents what was</w:t>
      </w:r>
      <w:r>
        <w:t xml:space="preserve"> </w:t>
      </w:r>
      <w:r>
        <w:t xml:space="preserve">read and what remains unchecked, including the original Norman full text and</w:t>
      </w:r>
      <w:r>
        <w:t xml:space="preserve"> </w:t>
      </w:r>
      <w:r>
        <w:t xml:space="preserve">supplements. We do not characterize PTPN12 or UBASH3B as newly discovered regulators.</w:t>
      </w:r>
    </w:p>
    <w:p>
      <w:pPr>
        <w:pStyle w:val="BodyText"/>
      </w:pPr>
      <w:r>
        <w:t xml:space="preserve">The historical K562 program illustrates an additional boundary: changing a</w:t>
      </w:r>
      <w:r>
        <w:t xml:space="preserve"> </w:t>
      </w:r>
      <w:r>
        <w:t xml:space="preserve">marker definition can recover a broad response missed by narrower panels. It does</w:t>
      </w:r>
      <w:r>
        <w:t xml:space="preserve"> </w:t>
      </w:r>
      <w:r>
        <w:t xml:space="preserve">not identify a better representation or validate a biological module partition.</w:t>
      </w:r>
      <w:r>
        <w:t xml:space="preserve"> </w:t>
      </w:r>
      <w:r>
        <w:t xml:space="preserve">Because the signature came from the same dataset, nominal p/q values do not</w:t>
      </w:r>
      <w:r>
        <w:t xml:space="preserve"> </w:t>
      </w:r>
      <w:r>
        <w:t xml:space="preserve">account for its entire historical selection. Independent perturbation experiments</w:t>
      </w:r>
      <w:r>
        <w:t xml:space="preserve"> </w:t>
      </w:r>
      <w:r>
        <w:t xml:space="preserve">remain necessary for a new regulator or pathway-specific causal claim.</w:t>
      </w:r>
    </w:p>
    <w:bookmarkEnd w:id="76"/>
    <w:bookmarkStart w:id="82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Code and small structural evidence artifacts are available in</w:t>
      </w:r>
      <w:r>
        <w:t xml:space="preserve"> </w:t>
      </w:r>
      <w:hyperlink r:id="rId77">
        <w:r>
          <w:rPr>
            <w:rStyle w:val="Hyperlink"/>
          </w:rPr>
          <w:t xml:space="preserve">the project repository</w:t>
        </w:r>
      </w:hyperlink>
      <w:r>
        <w:t xml:space="preserve">.</w:t>
      </w:r>
      <w:r>
        <w:t xml:space="preserve"> </w:t>
      </w:r>
      <w:r>
        <w:t xml:space="preserve">Primary-source data are described in [1,2,6]. Large matrices and checkpoints are</w:t>
      </w:r>
      <w:r>
        <w:t xml:space="preserve"> </w:t>
      </w:r>
      <w:r>
        <w:t xml:space="preserve">excluded from Git; their preprocessing reports record provenance. The frozen mouse</w:t>
      </w:r>
      <w:r>
        <w:t xml:space="preserve"> </w:t>
      </w:r>
      <w:r>
        <w:t xml:space="preserve">decision bundle has SHA-256</w:t>
      </w:r>
      <w:r>
        <w:t xml:space="preserve"> </w:t>
      </w:r>
      <w:r>
        <w:rPr>
          <w:rStyle w:val="VerbatimChar"/>
        </w:rPr>
        <w:t xml:space="preserve">172861417a923a83705812a96e5ad1e555055e968323289879447e53beb84396</w:t>
      </w:r>
      <w:r>
        <w:t xml:space="preserve">;</w:t>
      </w:r>
      <w:r>
        <w:t xml:space="preserve"> </w:t>
      </w:r>
      <w:r>
        <w:t xml:space="preserve">the human bundle has</w:t>
      </w:r>
      <w:r>
        <w:t xml:space="preserve"> </w:t>
      </w:r>
      <w:r>
        <w:rPr>
          <w:rStyle w:val="VerbatimChar"/>
        </w:rPr>
        <w:t xml:space="preserve">cc8159c882cf326bca5bbbc7f74d110d4a81338ec0ba07e208eb935bc8f729d3</w:t>
      </w:r>
      <w:r>
        <w:t xml:space="preserve">.</w:t>
      </w:r>
      <w:r>
        <w:t xml:space="preserve"> </w:t>
      </w:r>
      <w:r>
        <w:t xml:space="preserve">Each bundle concatenates its decision JSON and per-seed CSV. Verification is</w:t>
      </w:r>
      <w:r>
        <w:t xml:space="preserve"> </w:t>
      </w:r>
      <w:r>
        <w:t xml:space="preserve">documented in</w:t>
      </w:r>
      <w:r>
        <w:t xml:space="preserve"> </w:t>
      </w:r>
      <w:hyperlink r:id="rId78">
        <w:r>
          <w:rPr>
            <w:rStyle w:val="Hyperlink"/>
          </w:rPr>
          <w:t xml:space="preserve">REPRODUCIBILITY.md</w:t>
        </w:r>
      </w:hyperlink>
      <w:r>
        <w:t xml:space="preserve">. The synthetic audit retains</w:t>
      </w:r>
      <w:r>
        <w:t xml:space="preserve"> </w:t>
      </w:r>
      <w:r>
        <w:t xml:space="preserve">its exact executed generator source and source hashes in</w:t>
      </w:r>
      <w:r>
        <w:t xml:space="preserve"> </w:t>
      </w:r>
      <w:hyperlink r:id="rId79">
        <w:r>
          <w:rPr>
            <w:rStyle w:val="VerbatimChar"/>
          </w:rPr>
          <w:t xml:space="preserve">data_program_modulation_audit/</w:t>
        </w:r>
      </w:hyperlink>
      <w:r>
        <w:t xml:space="preserve">. The historical</w:t>
      </w:r>
      <w:r>
        <w:t xml:space="preserve"> </w:t>
      </w:r>
      <w:r>
        <w:t xml:space="preserve">benchmark implementation is pinned to commit</w:t>
      </w:r>
      <w:r>
        <w:t xml:space="preserve"> </w:t>
      </w:r>
      <w:r>
        <w:rPr>
          <w:rStyle w:val="VerbatimChar"/>
        </w:rPr>
        <w:t xml:space="preserve">a08db6d</w:t>
      </w:r>
      <w:r>
        <w:t xml:space="preserve">; the subsequent conditional</w:t>
      </w:r>
      <w:r>
        <w:t xml:space="preserve"> </w:t>
      </w:r>
      <w:r>
        <w:t xml:space="preserve">reanalysis is identified by its source hash. The initial generator did not record</w:t>
      </w:r>
      <w:r>
        <w:t xml:space="preserve"> </w:t>
      </w:r>
      <w:r>
        <w:t xml:space="preserve">a working-tree dirty flag, a provenance limitation disclosed in its manifest.</w:t>
      </w:r>
    </w:p>
    <w:p>
      <w:pPr>
        <w:pStyle w:val="BodyText"/>
      </w:pPr>
      <w:r>
        <w:t xml:space="preserve">Relevant artifacts are each dataset’s</w:t>
      </w:r>
      <w:r>
        <w:t xml:space="preserve"> </w:t>
      </w:r>
      <w:r>
        <w:rPr>
          <w:rStyle w:val="VerbatimChar"/>
        </w:rPr>
        <w:t xml:space="preserve">v0b_outputs/v0b_v3_1_decision.json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v0b_outputs/v0b_v3_1_per_seed.csv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baselines/baselines_results.json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grn/grn_baseline.json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ica/ica_baseline.json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robustness/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sensitivity/</w:t>
      </w:r>
      <w:r>
        <w:t xml:space="preserve"> </w:t>
      </w:r>
      <w:r>
        <w:t xml:space="preserve">summaries. The TRRUST result is</w:t>
      </w:r>
      <w:r>
        <w:t xml:space="preserve"> </w:t>
      </w:r>
      <w:hyperlink r:id="rId80">
        <w:r>
          <w:rPr>
            <w:rStyle w:val="VerbatimChar"/>
          </w:rPr>
          <w:t xml:space="preserve">data_g0_human/trrust/trrust_crossref.json</w:t>
        </w:r>
      </w:hyperlink>
      <w:r>
        <w:t xml:space="preserve">.</w:t>
      </w:r>
      <w:r>
        <w:t xml:space="preserve"> </w:t>
      </w:r>
      <w:r>
        <w:t xml:space="preserve">Historical causal evidence limitations are detailed in</w:t>
      </w:r>
      <w:r>
        <w:t xml:space="preserve"> </w:t>
      </w:r>
      <w:hyperlink r:id="rId81">
        <w:r>
          <w:rPr>
            <w:rStyle w:val="Hyperlink"/>
          </w:rPr>
          <w:t xml:space="preserve">COMPONENT2_RESULTS.md</w:t>
        </w:r>
      </w:hyperlink>
      <w:r>
        <w:t xml:space="preserve">.</w:t>
      </w:r>
    </w:p>
    <w:p>
      <w:pPr>
        <w:pStyle w:val="BodyText"/>
      </w:pPr>
      <w:r>
        <w:t xml:space="preserve">Fresh Norman baseline and sensitivity JSONs, a 945-row table, data fingerprints,</w:t>
      </w:r>
      <w:r>
        <w:t xml:space="preserve"> </w:t>
      </w:r>
      <w:r>
        <w:t xml:space="preserve">source hashes and technical-overlap metadata are retained under</w:t>
      </w:r>
      <w:r>
        <w:t xml:space="preserve"> </w:t>
      </w:r>
      <w:hyperlink r:id="rId50">
        <w:r>
          <w:rPr>
            <w:rStyle w:val="VerbatimChar"/>
          </w:rPr>
          <w:t xml:space="preserve">data_norman_continuation/</w:t>
        </w:r>
      </w:hyperlink>
      <w:r>
        <w:t xml:space="preserve">. Large source files and</w:t>
      </w:r>
      <w:r>
        <w:t xml:space="preserve"> </w:t>
      </w:r>
      <w:r>
        <w:t xml:space="preserve">resumable SAE weights remain outside Git. Their source fingerprints and preparation</w:t>
      </w:r>
      <w:r>
        <w:t xml:space="preserve"> </w:t>
      </w:r>
      <w:r>
        <w:t xml:space="preserve">policies are recorded. Three completed all-cell SAE JSON/log pairs, their joint</w:t>
      </w:r>
      <w:r>
        <w:t xml:space="preserve"> </w:t>
      </w:r>
      <w:r>
        <w:t xml:space="preserve">27-test summary and the one-seed control-only records are archived alongside</w:t>
      </w:r>
      <w:r>
        <w:t xml:space="preserve"> </w:t>
      </w:r>
      <w:r>
        <w:t xml:space="preserve">complete capped-NMF, dual-marker and external-phase outputs. Full-size fits</w:t>
      </w:r>
      <w:r>
        <w:t xml:space="preserve"> </w:t>
      </w:r>
      <w:r>
        <w:t xml:space="preserve">finished; durable large-model deposition remains outstanding.</w:t>
      </w:r>
    </w:p>
    <w:p>
      <w:pPr>
        <w:pStyle w:val="BodyText"/>
      </w:pPr>
      <w:r>
        <w:rPr>
          <w:b/>
          <w:bCs/>
        </w:rPr>
        <w:t xml:space="preserve">TODO:</w:t>
      </w:r>
      <w:r>
        <w:t xml:space="preserve"> </w:t>
      </w:r>
      <w:r>
        <w:t xml:space="preserve">deposit durable run archives with machine-readable outputs, exact code</w:t>
      </w:r>
      <w:r>
        <w:t xml:space="preserve"> </w:t>
      </w:r>
      <w:r>
        <w:t xml:space="preserve">revisions, environment manifests, and source-data access instructions; add archive</w:t>
      </w:r>
      <w:r>
        <w:t xml:space="preserve"> </w:t>
      </w:r>
      <w:r>
        <w:t xml:space="preserve">identifiers and a release tag. No archive identifier is invented here.</w:t>
      </w:r>
    </w:p>
    <w:bookmarkEnd w:id="82"/>
    <w:bookmarkStart w:id="83" w:name="contributions-funding-and-disclosures"/>
    <w:p>
      <w:pPr>
        <w:pStyle w:val="Heading1"/>
      </w:pPr>
      <w:r>
        <w:t xml:space="preserve">Contributions, funding, and disclosures</w:t>
      </w:r>
    </w:p>
    <w:p>
      <w:pPr>
        <w:pStyle w:val="FirstParagraph"/>
      </w:pPr>
      <w:r>
        <w:rPr>
          <w:b/>
          <w:bCs/>
        </w:rPr>
        <w:t xml:space="preserve">TODO, author confirmation required:</w:t>
      </w:r>
      <w:r>
        <w:t xml:space="preserve"> </w:t>
      </w:r>
      <w:r>
        <w:t xml:space="preserve">record contributions for conception,</w:t>
      </w:r>
      <w:r>
        <w:t xml:space="preserve"> </w:t>
      </w:r>
      <w:r>
        <w:t xml:space="preserve">software, analysis, validation, writing, and supervision; disclose computational</w:t>
      </w:r>
      <w:r>
        <w:t xml:space="preserve"> </w:t>
      </w:r>
      <w:r>
        <w:t xml:space="preserve">and writing assistance, including AI assistance where required. Confirm funding,</w:t>
      </w:r>
      <w:r>
        <w:t xml:space="preserve"> </w:t>
      </w:r>
      <w:r>
        <w:t xml:space="preserve">compute support, conflicts of interest, and acknowledgments. Confirm applicable</w:t>
      </w:r>
      <w:r>
        <w:t xml:space="preserve"> </w:t>
      </w:r>
      <w:r>
        <w:t xml:space="preserve">public-data ethics and competition or journal disclosure requirements; no ethics</w:t>
      </w:r>
      <w:r>
        <w:t xml:space="preserve"> </w:t>
      </w:r>
      <w:r>
        <w:t xml:space="preserve">determination, institutional approval, or exemption is asserted in this draft.</w:t>
      </w:r>
    </w:p>
    <w:p>
      <w:pPr>
        <w:pStyle w:val="BodyText"/>
      </w:pPr>
      <w:r>
        <w:rPr>
          <w:b/>
          <w:bCs/>
        </w:rPr>
        <w:t xml:space="preserve">Assistance disclosure, factual draft record:</w:t>
      </w:r>
      <w:r>
        <w:t xml:space="preserve"> </w:t>
      </w:r>
      <w:r>
        <w:t xml:space="preserve">the continuation used OpenAI</w:t>
      </w:r>
      <w:r>
        <w:t xml:space="preserve"> </w:t>
      </w:r>
      <w:r>
        <w:t xml:space="preserve">Codex for code changes, computational execution, artifact and targeted literature</w:t>
      </w:r>
      <w:r>
        <w:t xml:space="preserve"> </w:t>
      </w:r>
      <w:r>
        <w:t xml:space="preserve">checks, and manuscript drafting. Human author review and approval remain pending.</w:t>
      </w:r>
      <w:r>
        <w:t xml:space="preserve"> </w:t>
      </w:r>
      <w:r>
        <w:t xml:space="preserve">Additional assistance in earlier phases and venue-specific wording require an</w:t>
      </w:r>
      <w:r>
        <w:t xml:space="preserve"> </w:t>
      </w:r>
      <w:r>
        <w:t xml:space="preserve">author-confirmed account.</w:t>
      </w:r>
    </w:p>
    <w:bookmarkEnd w:id="83"/>
    <w:bookmarkStart w:id="95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Bibliographic fields were checked against Crossref, with retrieval provenance in</w:t>
      </w:r>
      <w:r>
        <w:t xml:space="preserve"> </w:t>
      </w:r>
      <w:hyperlink r:id="rId84">
        <w:r>
          <w:rPr>
            <w:rStyle w:val="VerbatimChar"/>
          </w:rPr>
          <w:t xml:space="preserve">data_literature_review/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TODO before submission:</w:t>
      </w:r>
      <w:r>
        <w:t xml:space="preserve"> </w:t>
      </w:r>
      <w:r>
        <w:t xml:space="preserve">complete claim verification against primary texts and supplements. Metadata checks</w:t>
      </w:r>
      <w:r>
        <w:t xml:space="preserve"> </w:t>
      </w:r>
      <w:r>
        <w:t xml:space="preserve">do not imply that every cited paper was read in full.</w:t>
      </w:r>
    </w:p>
    <w:p>
      <w:pPr>
        <w:pStyle w:val="Compact"/>
        <w:numPr>
          <w:ilvl w:val="0"/>
          <w:numId w:val="1001"/>
        </w:numPr>
      </w:pPr>
      <w:r>
        <w:t xml:space="preserve">Paul F, et al. Transcriptional heterogeneity and lineage commitment in myeloid</w:t>
      </w:r>
      <w:r>
        <w:t xml:space="preserve"> </w:t>
      </w:r>
      <w:r>
        <w:t xml:space="preserve">progenitors.</w:t>
      </w:r>
      <w:r>
        <w:t xml:space="preserve"> </w:t>
      </w:r>
      <w:r>
        <w:rPr>
          <w:i/>
          <w:iCs/>
        </w:rPr>
        <w:t xml:space="preserve">Cell</w:t>
      </w:r>
      <w:r>
        <w:t xml:space="preserve">. 2015;163:1663–1677.</w:t>
      </w:r>
      <w:r>
        <w:t xml:space="preserve"> </w:t>
      </w:r>
      <w:hyperlink r:id="rId85">
        <w:r>
          <w:rPr>
            <w:rStyle w:val="Hyperlink"/>
          </w:rPr>
          <w:t xml:space="preserve">https://doi.org/10.1016/j.cell.2015.11.013</w:t>
        </w:r>
      </w:hyperlink>
    </w:p>
    <w:p>
      <w:pPr>
        <w:pStyle w:val="Compact"/>
        <w:numPr>
          <w:ilvl w:val="0"/>
          <w:numId w:val="1001"/>
        </w:numPr>
      </w:pPr>
      <w:r>
        <w:t xml:space="preserve">Setty M, et al. Characterization of cell fate probabilities in single-cell data</w:t>
      </w:r>
      <w:r>
        <w:t xml:space="preserve"> </w:t>
      </w:r>
      <w:r>
        <w:t xml:space="preserve">with Palantir.</w:t>
      </w:r>
      <w:r>
        <w:t xml:space="preserve"> </w:t>
      </w:r>
      <w:r>
        <w:rPr>
          <w:i/>
          <w:iCs/>
        </w:rPr>
        <w:t xml:space="preserve">Nature Biotechnology</w:t>
      </w:r>
      <w:r>
        <w:t xml:space="preserve">. 2019;37:451–460.</w:t>
      </w:r>
      <w:r>
        <w:t xml:space="preserve"> </w:t>
      </w:r>
      <w:hyperlink r:id="rId86">
        <w:r>
          <w:rPr>
            <w:rStyle w:val="Hyperlink"/>
          </w:rPr>
          <w:t xml:space="preserve">https://doi.org/10.1038/s41587-019-0068-4</w:t>
        </w:r>
      </w:hyperlink>
    </w:p>
    <w:p>
      <w:pPr>
        <w:pStyle w:val="Compact"/>
        <w:numPr>
          <w:ilvl w:val="0"/>
          <w:numId w:val="1001"/>
        </w:numPr>
      </w:pPr>
      <w:r>
        <w:t xml:space="preserve">Benjamini Y, Hochberg Y. Controlling the false discovery rate: a practical and</w:t>
      </w:r>
      <w:r>
        <w:t xml:space="preserve"> </w:t>
      </w:r>
      <w:r>
        <w:t xml:space="preserve">powerful approach to multiple testing.</w:t>
      </w:r>
      <w:r>
        <w:t xml:space="preserve"> </w:t>
      </w:r>
      <w:r>
        <w:rPr>
          <w:i/>
          <w:iCs/>
        </w:rPr>
        <w:t xml:space="preserve">Journal of the Royal Statistical</w:t>
      </w:r>
      <w:r>
        <w:rPr>
          <w:i/>
          <w:iCs/>
        </w:rPr>
        <w:t xml:space="preserve"> </w:t>
      </w:r>
      <w:r>
        <w:rPr>
          <w:i/>
          <w:iCs/>
        </w:rPr>
        <w:t xml:space="preserve">Society: Series B</w:t>
      </w:r>
      <w:r>
        <w:t xml:space="preserve">. 1995;57:289–300.</w:t>
      </w:r>
      <w:r>
        <w:t xml:space="preserve"> </w:t>
      </w:r>
      <w:hyperlink r:id="rId87">
        <w:r>
          <w:rPr>
            <w:rStyle w:val="Hyperlink"/>
          </w:rPr>
          <w:t xml:space="preserve">https://doi.org/10.1111/j.2517-6161.1995.tb02031.x</w:t>
        </w:r>
      </w:hyperlink>
    </w:p>
    <w:p>
      <w:pPr>
        <w:pStyle w:val="Compact"/>
        <w:numPr>
          <w:ilvl w:val="0"/>
          <w:numId w:val="1001"/>
        </w:numPr>
      </w:pPr>
      <w:r>
        <w:t xml:space="preserve">Wolf FA, Angerer P, Theis FJ. SCANPY: large-scale single-cell gene expression</w:t>
      </w:r>
      <w:r>
        <w:t xml:space="preserve"> </w:t>
      </w:r>
      <w:r>
        <w:t xml:space="preserve">data analysis.</w:t>
      </w:r>
      <w:r>
        <w:t xml:space="preserve"> </w:t>
      </w:r>
      <w:r>
        <w:rPr>
          <w:i/>
          <w:iCs/>
        </w:rPr>
        <w:t xml:space="preserve">Genome Biology</w:t>
      </w:r>
      <w:r>
        <w:t xml:space="preserve">. 2018;19:15.</w:t>
      </w:r>
      <w:r>
        <w:t xml:space="preserve"> </w:t>
      </w:r>
      <w:hyperlink r:id="rId88">
        <w:r>
          <w:rPr>
            <w:rStyle w:val="Hyperlink"/>
          </w:rPr>
          <w:t xml:space="preserve">https://doi.org/10.1186/s13059-017-1382-0</w:t>
        </w:r>
      </w:hyperlink>
    </w:p>
    <w:p>
      <w:pPr>
        <w:pStyle w:val="Compact"/>
        <w:numPr>
          <w:ilvl w:val="0"/>
          <w:numId w:val="1001"/>
        </w:numPr>
      </w:pPr>
      <w:r>
        <w:t xml:space="preserve">Replogle JM, et al. Mapping information-rich genotype-phenotype landscapes with</w:t>
      </w:r>
      <w:r>
        <w:t xml:space="preserve"> </w:t>
      </w:r>
      <w:r>
        <w:t xml:space="preserve">genome-scale Perturb-seq.</w:t>
      </w:r>
      <w:r>
        <w:t xml:space="preserve"> </w:t>
      </w:r>
      <w:r>
        <w:rPr>
          <w:i/>
          <w:iCs/>
        </w:rPr>
        <w:t xml:space="preserve">Cell</w:t>
      </w:r>
      <w:r>
        <w:t xml:space="preserve">. 2022;185:2559–2575.e28.</w:t>
      </w:r>
      <w:r>
        <w:t xml:space="preserve"> </w:t>
      </w:r>
      <w:hyperlink r:id="rId89">
        <w:r>
          <w:rPr>
            <w:rStyle w:val="Hyperlink"/>
          </w:rPr>
          <w:t xml:space="preserve">https://doi.org/10.1016/j.cell.2022.05.013</w:t>
        </w:r>
      </w:hyperlink>
    </w:p>
    <w:p>
      <w:pPr>
        <w:pStyle w:val="Compact"/>
        <w:numPr>
          <w:ilvl w:val="0"/>
          <w:numId w:val="1001"/>
        </w:numPr>
      </w:pPr>
      <w:r>
        <w:t xml:space="preserve">Norman TM, et al. Exploring genetic interaction manifolds constructed from</w:t>
      </w:r>
      <w:r>
        <w:t xml:space="preserve"> </w:t>
      </w:r>
      <w:r>
        <w:t xml:space="preserve">rich single-cell phenotypes.</w:t>
      </w:r>
      <w:r>
        <w:t xml:space="preserve"> </w:t>
      </w:r>
      <w:r>
        <w:rPr>
          <w:i/>
          <w:iCs/>
        </w:rPr>
        <w:t xml:space="preserve">Science</w:t>
      </w:r>
      <w:r>
        <w:t xml:space="preserve">. 2019;365(6455):786–793.</w:t>
      </w:r>
      <w:r>
        <w:t xml:space="preserve"> </w:t>
      </w:r>
      <w:hyperlink r:id="rId90">
        <w:r>
          <w:rPr>
            <w:rStyle w:val="Hyperlink"/>
          </w:rPr>
          <w:t xml:space="preserve">https://doi.org/10.1126/science.aax4438</w:t>
        </w:r>
      </w:hyperlink>
    </w:p>
    <w:p>
      <w:pPr>
        <w:pStyle w:val="Compact"/>
        <w:numPr>
          <w:ilvl w:val="0"/>
          <w:numId w:val="1001"/>
        </w:numPr>
      </w:pPr>
      <w:r>
        <w:t xml:space="preserve">Han H, et al. TRRUST v2: an expanded reference database of human and mouse</w:t>
      </w:r>
      <w:r>
        <w:t xml:space="preserve"> </w:t>
      </w:r>
      <w:r>
        <w:t xml:space="preserve">transcriptional regulatory interactions.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.</w:t>
      </w:r>
      <w:r>
        <w:t xml:space="preserve"> </w:t>
      </w:r>
      <w:r>
        <w:t xml:space="preserve">2018;46(D1):D380–D386.</w:t>
      </w:r>
      <w:r>
        <w:t xml:space="preserve"> </w:t>
      </w:r>
      <w:hyperlink r:id="rId91">
        <w:r>
          <w:rPr>
            <w:rStyle w:val="Hyperlink"/>
          </w:rPr>
          <w:t xml:space="preserve">https://doi.org/10.1093/nar/gkx1013</w:t>
        </w:r>
      </w:hyperlink>
    </w:p>
    <w:p>
      <w:pPr>
        <w:pStyle w:val="Compact"/>
        <w:numPr>
          <w:ilvl w:val="0"/>
          <w:numId w:val="1001"/>
        </w:numPr>
      </w:pPr>
      <w:r>
        <w:t xml:space="preserve">Wang J, et al. FLI1 induces erythroleukemia through opposing effects on</w:t>
      </w:r>
      <w:r>
        <w:t xml:space="preserve"> </w:t>
      </w:r>
      <w:r>
        <w:t xml:space="preserve">UBASH3A and UBASH3B expression.</w:t>
      </w:r>
      <w:r>
        <w:t xml:space="preserve"> </w:t>
      </w:r>
      <w:r>
        <w:rPr>
          <w:i/>
          <w:iCs/>
        </w:rPr>
        <w:t xml:space="preserve">BMC Cancer</w:t>
      </w:r>
      <w:r>
        <w:t xml:space="preserve">. 2024;24:326.</w:t>
      </w:r>
      <w:r>
        <w:t xml:space="preserve"> </w:t>
      </w:r>
      <w:hyperlink r:id="rId92">
        <w:r>
          <w:rPr>
            <w:rStyle w:val="Hyperlink"/>
          </w:rPr>
          <w:t xml:space="preserve">https://doi.org/10.1186/s12885-024-12075-2</w:t>
        </w:r>
      </w:hyperlink>
    </w:p>
    <w:p>
      <w:pPr>
        <w:pStyle w:val="Compact"/>
        <w:numPr>
          <w:ilvl w:val="0"/>
          <w:numId w:val="1001"/>
        </w:numPr>
      </w:pPr>
      <w:r>
        <w:t xml:space="preserve">Kendiukhov I. Causal circuit tracing reveals distinct computational</w:t>
      </w:r>
      <w:r>
        <w:t xml:space="preserve"> </w:t>
      </w:r>
      <w:r>
        <w:t xml:space="preserve">architectures in single-cell foundation models: inhibitory dominance,</w:t>
      </w:r>
      <w:r>
        <w:t xml:space="preserve"> </w:t>
      </w:r>
      <w:r>
        <w:t xml:space="preserve">biological coherence, and cross-model convergence.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.</w:t>
      </w:r>
      <w:r>
        <w:t xml:space="preserve"> </w:t>
      </w:r>
      <w:r>
        <w:t xml:space="preserve">2026;42(7):btag379.</w:t>
      </w:r>
      <w:r>
        <w:t xml:space="preserve"> </w:t>
      </w:r>
      <w:hyperlink r:id="rId93">
        <w:r>
          <w:rPr>
            <w:rStyle w:val="Hyperlink"/>
          </w:rPr>
          <w:t xml:space="preserve">https://doi.org/10.1093/bioinformatics/btag379</w:t>
        </w:r>
      </w:hyperlink>
    </w:p>
    <w:p>
      <w:pPr>
        <w:pStyle w:val="Compact"/>
        <w:numPr>
          <w:ilvl w:val="0"/>
          <w:numId w:val="1001"/>
        </w:numPr>
      </w:pPr>
      <w:r>
        <w:t xml:space="preserve">Tirosh I, et al. Dissecting the multicellular ecosystem of metastatic melanoma</w:t>
      </w:r>
      <w:r>
        <w:t xml:space="preserve"> </w:t>
      </w:r>
      <w:r>
        <w:t xml:space="preserve">by single-cell RNA-seq.</w:t>
      </w:r>
      <w:r>
        <w:t xml:space="preserve"> </w:t>
      </w:r>
      <w:r>
        <w:rPr>
          <w:i/>
          <w:iCs/>
        </w:rPr>
        <w:t xml:space="preserve">Science</w:t>
      </w:r>
      <w:r>
        <w:t xml:space="preserve">. 2016;352(6282):189–196.</w:t>
      </w:r>
      <w:r>
        <w:t xml:space="preserve"> </w:t>
      </w:r>
      <w:hyperlink r:id="rId94">
        <w:r>
          <w:rPr>
            <w:rStyle w:val="Hyperlink"/>
          </w:rPr>
          <w:t xml:space="preserve">https://doi.org/10.1126/science.aad0501</w:t>
        </w:r>
      </w:hyperlink>
    </w:p>
    <w:p>
      <w:r>
        <w:br w:type="page"/>
      </w:r>
    </w:p>
    <w:bookmarkEnd w:id="95"/>
    <w:bookmarkStart w:id="99" w:name="supplementary-figure"/>
    <w:p>
      <w:pPr>
        <w:pStyle w:val="Heading1"/>
      </w:pPr>
      <w:r>
        <w:t xml:space="preserve">Supplementary figure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Displayed mouse sensitivity settings" title="" id="97" name="Picture"/>
            <a:graphic>
              <a:graphicData uri="http://schemas.openxmlformats.org/drawingml/2006/picture">
                <pic:pic>
                  <pic:nvPicPr>
                    <pic:cNvPr descr="figures/fig_robustnes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1. Displayed mouse robustness settings.</w:t>
      </w:r>
      <w:r>
        <w:t xml:space="preserve"> </w:t>
      </w:r>
      <w:r>
        <w:t xml:space="preserve">Bars show</w:t>
      </w:r>
      <w:r>
        <w:t xml:space="preserve"> </w:t>
      </w:r>
      <w:r>
        <w:t xml:space="preserve">granulocyte minus erythroid operational above-control counts for the displayed</w:t>
      </w:r>
      <w:r>
        <w:t xml:space="preserve"> </w:t>
      </w:r>
      <w:r>
        <w:t xml:space="preserve">sparsity, gene-panel and extended-seed settings. The sign convention is opposite</w:t>
      </w:r>
      <w:r>
        <w:t xml:space="preserve"> </w:t>
      </w:r>
      <w:r>
        <w:t xml:space="preserve">to Figure 1 and positive values do not support the original direction. Values</w:t>
      </w:r>
      <w:r>
        <w:t xml:space="preserve"> </w:t>
      </w:r>
      <w:r>
        <w:t xml:space="preserve">are descriptive summaries of fixed cells, not population confidence intervals.</w:t>
      </w:r>
      <w:r>
        <w:t xml:space="preserve"> </w:t>
      </w:r>
      <w:r>
        <w:t xml:space="preserve">The plot does not display every individual threshold or marker omission.</w:t>
      </w:r>
      <w:r>
        <w:t xml:space="preserve"> </w:t>
      </w:r>
      <w:r>
        <w:t xml:space="preserve">Quality-band deviations at extreme gene panels remain limitations, and human</w:t>
      </w:r>
      <w:r>
        <w:t xml:space="preserve"> </w:t>
      </w:r>
      <w:r>
        <w:t xml:space="preserve">outcomes must be read from their separate preserved artifacts.</w:t>
      </w:r>
    </w:p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9" Target="media/rId59.png" /><Relationship Type="http://schemas.openxmlformats.org/officeDocument/2006/relationships/image" Id="rId40" Target="media/rId40.png" /><Relationship Type="http://schemas.openxmlformats.org/officeDocument/2006/relationships/image" Id="rId65" Target="media/rId65.png" /><Relationship Type="http://schemas.openxmlformats.org/officeDocument/2006/relationships/image" Id="rId52" Target="media/rId52.png" /><Relationship Type="http://schemas.openxmlformats.org/officeDocument/2006/relationships/image" Id="rId96" Target="media/rId96.png" /><Relationship Type="http://schemas.openxmlformats.org/officeDocument/2006/relationships/hyperlink" Id="rId25" Target="../config/human_markers.json" TargetMode="External" /><Relationship Type="http://schemas.openxmlformats.org/officeDocument/2006/relationships/hyperlink" Id="rId29" Target="../config/preregistration_spec.json" TargetMode="External" /><Relationship Type="http://schemas.openxmlformats.org/officeDocument/2006/relationships/hyperlink" Id="rId22" Target="../data_g0/" TargetMode="External" /><Relationship Type="http://schemas.openxmlformats.org/officeDocument/2006/relationships/hyperlink" Id="rId23" Target="../data_g0_human/" TargetMode="External" /><Relationship Type="http://schemas.openxmlformats.org/officeDocument/2006/relationships/hyperlink" Id="rId80" Target="../data_g0_human/trrust/trrust_crossref.json" TargetMode="External" /><Relationship Type="http://schemas.openxmlformats.org/officeDocument/2006/relationships/hyperlink" Id="rId84" Target="../data_literature_review/" TargetMode="External" /><Relationship Type="http://schemas.openxmlformats.org/officeDocument/2006/relationships/hyperlink" Id="rId50" Target="../data_norman_continuation/" TargetMode="External" /><Relationship Type="http://schemas.openxmlformats.org/officeDocument/2006/relationships/hyperlink" Id="rId71" Target="../data_norman_continuation/dual_marker/" TargetMode="External" /><Relationship Type="http://schemas.openxmlformats.org/officeDocument/2006/relationships/hyperlink" Id="rId79" Target="../data_program_modulation_audit/" TargetMode="External" /><Relationship Type="http://schemas.openxmlformats.org/officeDocument/2006/relationships/hyperlink" Id="rId58" Target="../data_program_modulation_audit/boundary_audit/" TargetMode="External" /><Relationship Type="http://schemas.openxmlformats.org/officeDocument/2006/relationships/hyperlink" Id="rId48" Target="../data_program_modulation_audit/calibration/summary.json" TargetMode="External" /><Relationship Type="http://schemas.openxmlformats.org/officeDocument/2006/relationships/hyperlink" Id="rId45" Target="../data_program_modulation_audit/legacy_counterexamples_20seeds.json" TargetMode="External" /><Relationship Type="http://schemas.openxmlformats.org/officeDocument/2006/relationships/hyperlink" Id="rId47" Target="../data_program_modulation_audit/rates_and_intervals.json" TargetMode="External" /><Relationship Type="http://schemas.openxmlformats.org/officeDocument/2006/relationships/hyperlink" Id="rId46" Target="../data_program_modulation_audit/specificity_reanalysis_20seeds.json" TargetMode="External" /><Relationship Type="http://schemas.openxmlformats.org/officeDocument/2006/relationships/hyperlink" Id="rId28" Target="../src/v0b_v3_1_decision.py" TargetMode="External" /><Relationship Type="http://schemas.openxmlformats.org/officeDocument/2006/relationships/hyperlink" Id="rId81" Target="COMPONENT2_RESULTS.md" TargetMode="External" /><Relationship Type="http://schemas.openxmlformats.org/officeDocument/2006/relationships/hyperlink" Id="rId75" Target="LITERATURE_REVIEW.md" TargetMode="External" /><Relationship Type="http://schemas.openxmlformats.org/officeDocument/2006/relationships/hyperlink" Id="rId63" Target="NORMAN_COMPLETED_MODELS.md" TargetMode="External" /><Relationship Type="http://schemas.openxmlformats.org/officeDocument/2006/relationships/hyperlink" Id="rId69" Target="NORMAN_K562_CONTEXT.md" TargetMode="External" /><Relationship Type="http://schemas.openxmlformats.org/officeDocument/2006/relationships/hyperlink" Id="rId56" Target="NORMAN_NMF_CONVERGENCE.md" TargetMode="External" /><Relationship Type="http://schemas.openxmlformats.org/officeDocument/2006/relationships/hyperlink" Id="rId51" Target="NORMAN_TARGET_RNA.md" TargetMode="External" /><Relationship Type="http://schemas.openxmlformats.org/officeDocument/2006/relationships/hyperlink" Id="rId78" Target="REPRODUCIBILITY.md" TargetMode="External" /><Relationship Type="http://schemas.openxmlformats.org/officeDocument/2006/relationships/hyperlink" Id="rId85" Target="https://doi.org/10.1016/j.cell.2015.11.013" TargetMode="External" /><Relationship Type="http://schemas.openxmlformats.org/officeDocument/2006/relationships/hyperlink" Id="rId89" Target="https://doi.org/10.1016/j.cell.2022.05.013" TargetMode="External" /><Relationship Type="http://schemas.openxmlformats.org/officeDocument/2006/relationships/hyperlink" Id="rId86" Target="https://doi.org/10.1038/s41587-019-0068-4" TargetMode="External" /><Relationship Type="http://schemas.openxmlformats.org/officeDocument/2006/relationships/hyperlink" Id="rId93" Target="https://doi.org/10.1093/bioinformatics/btag379" TargetMode="External" /><Relationship Type="http://schemas.openxmlformats.org/officeDocument/2006/relationships/hyperlink" Id="rId91" Target="https://doi.org/10.1093/nar/gkx1013" TargetMode="External" /><Relationship Type="http://schemas.openxmlformats.org/officeDocument/2006/relationships/hyperlink" Id="rId87" Target="https://doi.org/10.1111/j.2517-6161.1995.tb02031.x" TargetMode="External" /><Relationship Type="http://schemas.openxmlformats.org/officeDocument/2006/relationships/hyperlink" Id="rId94" Target="https://doi.org/10.1126/science.aad0501" TargetMode="External" /><Relationship Type="http://schemas.openxmlformats.org/officeDocument/2006/relationships/hyperlink" Id="rId90" Target="https://doi.org/10.1126/science.aax4438" TargetMode="External" /><Relationship Type="http://schemas.openxmlformats.org/officeDocument/2006/relationships/hyperlink" Id="rId92" Target="https://doi.org/10.1186/s12885-024-12075-2" TargetMode="External" /><Relationship Type="http://schemas.openxmlformats.org/officeDocument/2006/relationships/hyperlink" Id="rId88" Target="https://doi.org/10.1186/s13059-017-1382-0" TargetMode="External" /><Relationship Type="http://schemas.openxmlformats.org/officeDocument/2006/relationships/hyperlink" Id="rId77" Target="https://github.com/jbar1125/SAE-scRNA-seq-Resear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config/human_markers.json" TargetMode="External" /><Relationship Type="http://schemas.openxmlformats.org/officeDocument/2006/relationships/hyperlink" Id="rId29" Target="../config/preregistration_spec.json" TargetMode="External" /><Relationship Type="http://schemas.openxmlformats.org/officeDocument/2006/relationships/hyperlink" Id="rId22" Target="../data_g0/" TargetMode="External" /><Relationship Type="http://schemas.openxmlformats.org/officeDocument/2006/relationships/hyperlink" Id="rId23" Target="../data_g0_human/" TargetMode="External" /><Relationship Type="http://schemas.openxmlformats.org/officeDocument/2006/relationships/hyperlink" Id="rId80" Target="../data_g0_human/trrust/trrust_crossref.json" TargetMode="External" /><Relationship Type="http://schemas.openxmlformats.org/officeDocument/2006/relationships/hyperlink" Id="rId84" Target="../data_literature_review/" TargetMode="External" /><Relationship Type="http://schemas.openxmlformats.org/officeDocument/2006/relationships/hyperlink" Id="rId50" Target="../data_norman_continuation/" TargetMode="External" /><Relationship Type="http://schemas.openxmlformats.org/officeDocument/2006/relationships/hyperlink" Id="rId71" Target="../data_norman_continuation/dual_marker/" TargetMode="External" /><Relationship Type="http://schemas.openxmlformats.org/officeDocument/2006/relationships/hyperlink" Id="rId79" Target="../data_program_modulation_audit/" TargetMode="External" /><Relationship Type="http://schemas.openxmlformats.org/officeDocument/2006/relationships/hyperlink" Id="rId58" Target="../data_program_modulation_audit/boundary_audit/" TargetMode="External" /><Relationship Type="http://schemas.openxmlformats.org/officeDocument/2006/relationships/hyperlink" Id="rId48" Target="../data_program_modulation_audit/calibration/summary.json" TargetMode="External" /><Relationship Type="http://schemas.openxmlformats.org/officeDocument/2006/relationships/hyperlink" Id="rId45" Target="../data_program_modulation_audit/legacy_counterexamples_20seeds.json" TargetMode="External" /><Relationship Type="http://schemas.openxmlformats.org/officeDocument/2006/relationships/hyperlink" Id="rId47" Target="../data_program_modulation_audit/rates_and_intervals.json" TargetMode="External" /><Relationship Type="http://schemas.openxmlformats.org/officeDocument/2006/relationships/hyperlink" Id="rId46" Target="../data_program_modulation_audit/specificity_reanalysis_20seeds.json" TargetMode="External" /><Relationship Type="http://schemas.openxmlformats.org/officeDocument/2006/relationships/hyperlink" Id="rId28" Target="../src/v0b_v3_1_decision.py" TargetMode="External" /><Relationship Type="http://schemas.openxmlformats.org/officeDocument/2006/relationships/hyperlink" Id="rId81" Target="COMPONENT2_RESULTS.md" TargetMode="External" /><Relationship Type="http://schemas.openxmlformats.org/officeDocument/2006/relationships/hyperlink" Id="rId75" Target="LITERATURE_REVIEW.md" TargetMode="External" /><Relationship Type="http://schemas.openxmlformats.org/officeDocument/2006/relationships/hyperlink" Id="rId63" Target="NORMAN_COMPLETED_MODELS.md" TargetMode="External" /><Relationship Type="http://schemas.openxmlformats.org/officeDocument/2006/relationships/hyperlink" Id="rId69" Target="NORMAN_K562_CONTEXT.md" TargetMode="External" /><Relationship Type="http://schemas.openxmlformats.org/officeDocument/2006/relationships/hyperlink" Id="rId56" Target="NORMAN_NMF_CONVERGENCE.md" TargetMode="External" /><Relationship Type="http://schemas.openxmlformats.org/officeDocument/2006/relationships/hyperlink" Id="rId51" Target="NORMAN_TARGET_RNA.md" TargetMode="External" /><Relationship Type="http://schemas.openxmlformats.org/officeDocument/2006/relationships/hyperlink" Id="rId78" Target="REPRODUCIBILITY.md" TargetMode="External" /><Relationship Type="http://schemas.openxmlformats.org/officeDocument/2006/relationships/hyperlink" Id="rId85" Target="https://doi.org/10.1016/j.cell.2015.11.013" TargetMode="External" /><Relationship Type="http://schemas.openxmlformats.org/officeDocument/2006/relationships/hyperlink" Id="rId89" Target="https://doi.org/10.1016/j.cell.2022.05.013" TargetMode="External" /><Relationship Type="http://schemas.openxmlformats.org/officeDocument/2006/relationships/hyperlink" Id="rId86" Target="https://doi.org/10.1038/s41587-019-0068-4" TargetMode="External" /><Relationship Type="http://schemas.openxmlformats.org/officeDocument/2006/relationships/hyperlink" Id="rId93" Target="https://doi.org/10.1093/bioinformatics/btag379" TargetMode="External" /><Relationship Type="http://schemas.openxmlformats.org/officeDocument/2006/relationships/hyperlink" Id="rId91" Target="https://doi.org/10.1093/nar/gkx1013" TargetMode="External" /><Relationship Type="http://schemas.openxmlformats.org/officeDocument/2006/relationships/hyperlink" Id="rId87" Target="https://doi.org/10.1111/j.2517-6161.1995.tb02031.x" TargetMode="External" /><Relationship Type="http://schemas.openxmlformats.org/officeDocument/2006/relationships/hyperlink" Id="rId94" Target="https://doi.org/10.1126/science.aad0501" TargetMode="External" /><Relationship Type="http://schemas.openxmlformats.org/officeDocument/2006/relationships/hyperlink" Id="rId90" Target="https://doi.org/10.1126/science.aax4438" TargetMode="External" /><Relationship Type="http://schemas.openxmlformats.org/officeDocument/2006/relationships/hyperlink" Id="rId92" Target="https://doi.org/10.1186/s12885-024-12075-2" TargetMode="External" /><Relationship Type="http://schemas.openxmlformats.org/officeDocument/2006/relationships/hyperlink" Id="rId88" Target="https://doi.org/10.1186/s13059-017-1382-0" TargetMode="External" /><Relationship Type="http://schemas.openxmlformats.org/officeDocument/2006/relationships/hyperlink" Id="rId77" Target="https://github.com/jbar1125/SAE-scRNA-seq-Resear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Representation and annotation change measured structure and perturbation responses of hematopoietic gene programs</dc:title>
  <dc:creator/>
  <cp:keywords/>
  <dcterms:created xsi:type="dcterms:W3CDTF">2026-10-20T19:12:45Z</dcterms:created>
  <dcterms:modified xsi:type="dcterms:W3CDTF">2026-10-20T19:12:45Z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Internal review draft, 2026-10-20</vt:lpwstr>
  </property>
</Properties>
</file>