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5E30D15E" w:rsidR="00367A02" w:rsidRDefault="00B30AE2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B30AE2">
        <w:rPr>
          <w:rFonts w:ascii="Arial" w:hAnsi="Arial" w:cs="Arial"/>
          <w:b/>
          <w:sz w:val="32"/>
          <w:lang w:val="es-PE"/>
        </w:rPr>
        <w:t>SERVICIO DE CONSULTORÍA PARA REALIZAR EL DIAGNÓSTICO Y PROPUESTA DE VISIÓN DE ARQUITECTURA DE SOFTWARE DE LOS NUEVOS SISTEMAS DEL OSCE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7AF3D808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</w:t>
      </w:r>
      <w:r w:rsidR="00C76D75">
        <w:rPr>
          <w:rFonts w:ascii="Arial" w:hAnsi="Arial" w:cs="Arial"/>
          <w:b/>
          <w:noProof/>
          <w:sz w:val="32"/>
        </w:rPr>
        <w:t>8</w:t>
      </w:r>
      <w:r w:rsidR="001F2B88" w:rsidRPr="001F2B88">
        <w:rPr>
          <w:rFonts w:ascii="Arial" w:hAnsi="Arial" w:cs="Arial"/>
          <w:b/>
          <w:noProof/>
          <w:sz w:val="32"/>
        </w:rPr>
        <w:t>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23BF8A69" w:rsidR="00BA71E2" w:rsidRPr="00D923FC" w:rsidRDefault="00262C5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>INFORME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 xml:space="preserve"> DE ACTIVIDADES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4671AF68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8A4EAF" w:rsidRPr="008A4EAF">
        <w:rPr>
          <w:rFonts w:ascii="Arial" w:hAnsi="Arial" w:cs="Arial"/>
          <w:b/>
          <w:noProof/>
          <w:sz w:val="24"/>
          <w:lang w:val="es-PE"/>
        </w:rPr>
        <w:t>Eduardo Marchena Rosales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6EA60F8B" w:rsidR="00BB3443" w:rsidRPr="00D923FC" w:rsidRDefault="008405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8405DF">
        <w:rPr>
          <w:rFonts w:ascii="Arial" w:hAnsi="Arial" w:cs="Arial"/>
          <w:b/>
          <w:noProof/>
          <w:sz w:val="24"/>
          <w:lang w:val="es-PE"/>
        </w:rPr>
        <w:t>1</w:t>
      </w:r>
      <w:r w:rsidR="003E4C93">
        <w:rPr>
          <w:rFonts w:ascii="Arial" w:hAnsi="Arial" w:cs="Arial"/>
          <w:b/>
          <w:noProof/>
          <w:sz w:val="24"/>
          <w:lang w:val="es-PE"/>
        </w:rPr>
        <w:t>8</w:t>
      </w:r>
      <w:r w:rsidR="00A005FB" w:rsidRPr="008405DF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Pr="008405DF">
        <w:rPr>
          <w:rFonts w:ascii="Arial" w:hAnsi="Arial" w:cs="Arial"/>
          <w:b/>
          <w:noProof/>
          <w:sz w:val="24"/>
          <w:lang w:val="es-PE"/>
        </w:rPr>
        <w:t>Diciembre</w:t>
      </w:r>
      <w:r w:rsidR="007B75EF" w:rsidRPr="008405DF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8277ED" w:rsidRPr="008405DF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8405DF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8405DF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2955E00E" w:rsidR="002B10E9" w:rsidRPr="007073E2" w:rsidRDefault="007073E2" w:rsidP="00196A4F">
      <w:pPr>
        <w:jc w:val="center"/>
        <w:rPr>
          <w:rFonts w:ascii="Arial" w:hAnsi="Arial" w:cs="Arial"/>
          <w:b/>
          <w:sz w:val="20"/>
        </w:rPr>
      </w:pPr>
      <w:r w:rsidRPr="007073E2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7073E2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977"/>
        <w:gridCol w:w="3077"/>
        <w:gridCol w:w="3685"/>
      </w:tblGrid>
      <w:tr w:rsidR="007073E2" w:rsidRPr="008405DF" w14:paraId="21FA9FB8" w14:textId="77777777" w:rsidTr="002F2CE1">
        <w:trPr>
          <w:trHeight w:val="298"/>
        </w:trPr>
        <w:tc>
          <w:tcPr>
            <w:tcW w:w="1217" w:type="dxa"/>
            <w:shd w:val="clear" w:color="auto" w:fill="FFC000"/>
            <w:vAlign w:val="center"/>
          </w:tcPr>
          <w:p w14:paraId="44C3DDFC" w14:textId="77777777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33997642" w14:textId="161F9F6A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7C4DC3A8" w14:textId="0836A660" w:rsidR="007073E2" w:rsidRPr="008405DF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405DF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73E2" w:rsidRPr="007073E2" w14:paraId="4A61F695" w14:textId="77777777" w:rsidTr="002F2CE1">
        <w:trPr>
          <w:trHeight w:val="261"/>
        </w:trPr>
        <w:tc>
          <w:tcPr>
            <w:tcW w:w="1217" w:type="dxa"/>
          </w:tcPr>
          <w:p w14:paraId="26CE2AD0" w14:textId="52CD40A1" w:rsidR="007073E2" w:rsidRPr="008405DF" w:rsidRDefault="008405DF" w:rsidP="00F16F31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1</w:t>
            </w:r>
            <w:r w:rsidR="00F16F31">
              <w:rPr>
                <w:rFonts w:ascii="Arial" w:hAnsi="Arial" w:cs="Arial"/>
                <w:sz w:val="20"/>
              </w:rPr>
              <w:t>8</w:t>
            </w:r>
            <w:r w:rsidRPr="008405DF">
              <w:rPr>
                <w:rFonts w:ascii="Arial" w:hAnsi="Arial" w:cs="Arial"/>
                <w:sz w:val="20"/>
              </w:rPr>
              <w:t>/12</w:t>
            </w:r>
            <w:r w:rsidR="007073E2" w:rsidRPr="008405DF">
              <w:rPr>
                <w:rFonts w:ascii="Arial" w:hAnsi="Arial" w:cs="Arial"/>
                <w:sz w:val="20"/>
              </w:rPr>
              <w:t>/2017</w:t>
            </w:r>
          </w:p>
        </w:tc>
        <w:tc>
          <w:tcPr>
            <w:tcW w:w="977" w:type="dxa"/>
          </w:tcPr>
          <w:p w14:paraId="4E4D46A7" w14:textId="77777777" w:rsidR="007073E2" w:rsidRPr="008405DF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2D3DA568" w14:textId="134A4B7B" w:rsidR="007073E2" w:rsidRPr="008405DF" w:rsidRDefault="000E48E6" w:rsidP="000E48E6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  <w:lang w:val="es-PE"/>
              </w:rPr>
              <w:t>Eduardo Marchena Rosales</w:t>
            </w:r>
          </w:p>
        </w:tc>
        <w:tc>
          <w:tcPr>
            <w:tcW w:w="3685" w:type="dxa"/>
          </w:tcPr>
          <w:p w14:paraId="059C4D63" w14:textId="215AA376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8405DF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7073E2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7073E2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49F29C63" w14:textId="68710148" w:rsidR="00A005FB" w:rsidRPr="007073E2" w:rsidRDefault="00955E0C" w:rsidP="00955E0C">
      <w:pPr>
        <w:tabs>
          <w:tab w:val="left" w:pos="147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ab/>
      </w:r>
    </w:p>
    <w:p w14:paraId="7B664B51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C1F023" w14:textId="77777777" w:rsidR="00277BA0" w:rsidRDefault="001F4238" w:rsidP="00831C53">
      <w:pPr>
        <w:jc w:val="both"/>
        <w:rPr>
          <w:noProof/>
        </w:rPr>
      </w:pPr>
      <w:bookmarkStart w:id="1" w:name="_Toc203542365"/>
      <w:r w:rsidRPr="007073E2">
        <w:rPr>
          <w:rFonts w:ascii="Arial" w:hAnsi="Arial" w:cs="Arial"/>
          <w:b/>
          <w:sz w:val="20"/>
        </w:rPr>
        <w:t>Tabla de Contenido</w:t>
      </w:r>
      <w:r w:rsidR="00336F18" w:rsidRPr="007073E2">
        <w:rPr>
          <w:rFonts w:ascii="Arial" w:hAnsi="Arial" w:cs="Arial"/>
          <w:sz w:val="20"/>
        </w:rPr>
        <w:fldChar w:fldCharType="begin"/>
      </w:r>
      <w:r w:rsidRPr="007073E2">
        <w:rPr>
          <w:rFonts w:ascii="Arial" w:hAnsi="Arial" w:cs="Arial"/>
          <w:sz w:val="20"/>
        </w:rPr>
        <w:instrText xml:space="preserve"> TOC \o "1-3" \h \z \u </w:instrText>
      </w:r>
      <w:r w:rsidR="00336F18" w:rsidRPr="007073E2">
        <w:rPr>
          <w:rFonts w:ascii="Arial" w:hAnsi="Arial" w:cs="Arial"/>
          <w:sz w:val="20"/>
        </w:rPr>
        <w:fldChar w:fldCharType="separate"/>
      </w:r>
    </w:p>
    <w:p w14:paraId="5E2660E7" w14:textId="77777777" w:rsidR="00277BA0" w:rsidRDefault="00277BA0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100761" w:history="1">
        <w:r w:rsidRPr="00EE58AF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EE58AF">
          <w:rPr>
            <w:rStyle w:val="Hipervnculo"/>
            <w:rFonts w:ascii="Arial" w:hAnsi="Arial" w:cs="Arial"/>
            <w:b/>
            <w:noProof/>
            <w:lang w:val="es-PE" w:eastAsia="es-PE"/>
          </w:rPr>
          <w:t>Descripción de las actividades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_Toc501100761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0773B" w14:textId="77777777" w:rsidR="00277BA0" w:rsidRDefault="00277BA0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100762" w:history="1">
        <w:r w:rsidRPr="00EE58AF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EE58AF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_Toc501100762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CAC8D4" w14:textId="77777777" w:rsidR="00277BA0" w:rsidRDefault="00277BA0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100763" w:history="1">
        <w:r w:rsidRPr="00EE58AF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EE58AF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_Toc501100763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876846" w14:textId="77777777" w:rsidR="00277BA0" w:rsidRDefault="00277BA0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100764" w:history="1">
        <w:r w:rsidRPr="00EE58AF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EE58AF">
          <w:rPr>
            <w:rStyle w:val="Hipervnculo"/>
            <w:rFonts w:ascii="Arial" w:hAnsi="Arial" w:cs="Arial"/>
            <w:b/>
            <w:noProof/>
            <w:lang w:val="es-PE" w:eastAsia="es-PE"/>
          </w:rPr>
          <w:t>Anexo 01: Actas de reunión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_Toc501100764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7073E2" w:rsidRDefault="00336F18" w:rsidP="00C677C0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7073E2" w:rsidRDefault="00D97A01">
      <w:pPr>
        <w:spacing w:before="0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64CCCCD5" w14:textId="3BB3EE53" w:rsidR="002C5627" w:rsidRPr="001C13B1" w:rsidRDefault="002C5627" w:rsidP="00D97A01">
      <w:pPr>
        <w:jc w:val="center"/>
        <w:rPr>
          <w:rFonts w:ascii="Arial" w:hAnsi="Arial" w:cs="Arial"/>
          <w:b/>
          <w:sz w:val="22"/>
          <w:lang w:val="es-PE" w:eastAsia="es-PE"/>
        </w:rPr>
      </w:pPr>
      <w:r w:rsidRPr="001C13B1">
        <w:rPr>
          <w:rFonts w:ascii="Arial" w:hAnsi="Arial" w:cs="Arial"/>
          <w:b/>
          <w:sz w:val="22"/>
          <w:lang w:val="es-PE" w:eastAsia="es-PE"/>
        </w:rPr>
        <w:lastRenderedPageBreak/>
        <w:t>INFORME DE ACTIVIDADES</w:t>
      </w:r>
    </w:p>
    <w:p w14:paraId="2D4C3881" w14:textId="77777777" w:rsidR="002C5627" w:rsidRPr="007073E2" w:rsidRDefault="002C5627" w:rsidP="002C5627">
      <w:pPr>
        <w:pStyle w:val="Prrafodelista"/>
        <w:ind w:left="360"/>
        <w:jc w:val="center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50762465" w14:textId="5736BC0F" w:rsidR="003637EE" w:rsidRPr="007073E2" w:rsidRDefault="000C42BF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501100761"/>
      <w:r w:rsidRPr="007073E2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8E5" w:rsidRPr="007073E2">
        <w:rPr>
          <w:rFonts w:ascii="Arial" w:hAnsi="Arial" w:cs="Arial"/>
          <w:b/>
          <w:sz w:val="20"/>
          <w:lang w:val="es-PE" w:eastAsia="es-PE"/>
        </w:rPr>
        <w:t xml:space="preserve">Descripción de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 xml:space="preserve">las </w:t>
      </w:r>
      <w:r w:rsidR="00AA28E5" w:rsidRPr="007073E2">
        <w:rPr>
          <w:rFonts w:ascii="Arial" w:hAnsi="Arial" w:cs="Arial"/>
          <w:b/>
          <w:sz w:val="20"/>
          <w:lang w:val="es-PE" w:eastAsia="es-PE"/>
        </w:rPr>
        <w:t>a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ctividades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>r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>ealizadas</w:t>
      </w:r>
      <w:bookmarkEnd w:id="3"/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55F0C015" w14:textId="053CBEC3" w:rsidR="007A39DA" w:rsidRPr="007073E2" w:rsidRDefault="004F08F9" w:rsidP="007C2DC9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  <w:lang w:val="es-PE"/>
        </w:rPr>
      </w:pPr>
      <w:r w:rsidRPr="007073E2">
        <w:rPr>
          <w:rFonts w:ascii="Arial" w:hAnsi="Arial" w:cs="Arial"/>
          <w:sz w:val="20"/>
          <w:lang w:val="es-PE"/>
        </w:rPr>
        <w:t xml:space="preserve">Las actividades de la presente consultoría se desarrollaron en el marco del siguiente </w:t>
      </w:r>
      <w:r w:rsidR="005C2286" w:rsidRPr="007073E2">
        <w:rPr>
          <w:rFonts w:ascii="Arial" w:hAnsi="Arial" w:cs="Arial"/>
          <w:sz w:val="20"/>
          <w:lang w:val="es-PE"/>
        </w:rPr>
        <w:t xml:space="preserve">plan de </w:t>
      </w:r>
      <w:r w:rsidR="005C2286" w:rsidRPr="007073E2">
        <w:rPr>
          <w:rFonts w:ascii="Arial" w:hAnsi="Arial" w:cs="Arial"/>
          <w:sz w:val="20"/>
        </w:rPr>
        <w:t>trabajo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6633"/>
      </w:tblGrid>
      <w:tr w:rsidR="00C32A3F" w:rsidRPr="007073E2" w14:paraId="55276487" w14:textId="77777777" w:rsidTr="00F60BC8">
        <w:trPr>
          <w:trHeight w:val="255"/>
        </w:trPr>
        <w:tc>
          <w:tcPr>
            <w:tcW w:w="1217" w:type="dxa"/>
            <w:shd w:val="clear" w:color="auto" w:fill="FFC000"/>
          </w:tcPr>
          <w:p w14:paraId="3B45EB58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  <w:p w14:paraId="04625375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Inicio</w:t>
            </w:r>
          </w:p>
        </w:tc>
        <w:tc>
          <w:tcPr>
            <w:tcW w:w="1217" w:type="dxa"/>
            <w:shd w:val="clear" w:color="auto" w:fill="FFC000"/>
          </w:tcPr>
          <w:p w14:paraId="4B2863BB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Fecha </w:t>
            </w:r>
          </w:p>
          <w:p w14:paraId="6786C78F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Termino</w:t>
            </w:r>
          </w:p>
        </w:tc>
        <w:tc>
          <w:tcPr>
            <w:tcW w:w="6633" w:type="dxa"/>
            <w:shd w:val="clear" w:color="auto" w:fill="FFC000"/>
          </w:tcPr>
          <w:p w14:paraId="38A2B5DB" w14:textId="77777777" w:rsidR="00C32A3F" w:rsidRPr="007073E2" w:rsidRDefault="00C32A3F" w:rsidP="00C010F5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Actividades</w:t>
            </w:r>
          </w:p>
        </w:tc>
      </w:tr>
      <w:tr w:rsidR="00C32A3F" w:rsidRPr="007073E2" w14:paraId="19E8824E" w14:textId="77777777" w:rsidTr="00C010F5">
        <w:tc>
          <w:tcPr>
            <w:tcW w:w="1217" w:type="dxa"/>
          </w:tcPr>
          <w:p w14:paraId="6348844E" w14:textId="7B2FBF5D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4C4F9B">
              <w:rPr>
                <w:rFonts w:ascii="Arial" w:hAnsi="Arial" w:cs="Arial"/>
                <w:sz w:val="20"/>
                <w:lang w:val="es-US"/>
              </w:rPr>
              <w:t>0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088870" w14:textId="51D5374A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1267244E" w14:textId="3610F6F3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</w:t>
            </w:r>
            <w:r w:rsidR="004C4F9B">
              <w:rPr>
                <w:rFonts w:ascii="Arial" w:hAnsi="Arial" w:cs="Arial"/>
                <w:sz w:val="20"/>
                <w:lang w:val="es-US"/>
              </w:rPr>
              <w:t xml:space="preserve">de propuesta de </w:t>
            </w:r>
            <w:r w:rsidR="00DD2D04">
              <w:rPr>
                <w:rFonts w:ascii="Arial" w:hAnsi="Arial" w:cs="Arial"/>
                <w:sz w:val="20"/>
                <w:lang w:val="es-US"/>
              </w:rPr>
              <w:t xml:space="preserve">estructuras de documentos </w:t>
            </w:r>
            <w:r w:rsidR="004C4F9B">
              <w:rPr>
                <w:rFonts w:ascii="Arial" w:hAnsi="Arial" w:cs="Arial"/>
                <w:sz w:val="20"/>
                <w:lang w:val="es-US"/>
              </w:rPr>
              <w:t>solicitados como entregables</w:t>
            </w:r>
          </w:p>
        </w:tc>
      </w:tr>
      <w:tr w:rsidR="00C32A3F" w:rsidRPr="007073E2" w14:paraId="5148972B" w14:textId="77777777" w:rsidTr="00C010F5">
        <w:tc>
          <w:tcPr>
            <w:tcW w:w="1217" w:type="dxa"/>
          </w:tcPr>
          <w:p w14:paraId="07DBA622" w14:textId="2948341C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14/1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108117E2" w14:textId="2450B214" w:rsidR="00C32A3F" w:rsidRPr="007073E2" w:rsidRDefault="00DD2D04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4C4F9B"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37DEF0D" w14:textId="1C18F570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Reunión de </w:t>
            </w:r>
            <w:r w:rsidR="00DD2D04">
              <w:rPr>
                <w:rFonts w:ascii="Arial" w:hAnsi="Arial" w:cs="Arial"/>
                <w:sz w:val="20"/>
                <w:lang w:val="es-US"/>
              </w:rPr>
              <w:t>trabajo para levantamiento de información</w:t>
            </w:r>
          </w:p>
        </w:tc>
      </w:tr>
      <w:tr w:rsidR="00C32A3F" w:rsidRPr="007073E2" w14:paraId="171064D6" w14:textId="77777777" w:rsidTr="00C010F5">
        <w:tc>
          <w:tcPr>
            <w:tcW w:w="1217" w:type="dxa"/>
          </w:tcPr>
          <w:p w14:paraId="68DC3777" w14:textId="23344CEF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F60BC8"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6348D12E" w14:textId="7FB15F2E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</w:t>
            </w:r>
            <w:r w:rsidR="00265FA8">
              <w:rPr>
                <w:rFonts w:ascii="Arial" w:hAnsi="Arial" w:cs="Arial"/>
                <w:sz w:val="20"/>
                <w:lang w:val="es-US"/>
              </w:rPr>
              <w:t>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5D8D76B8" w14:textId="7554CED7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</w:t>
            </w:r>
            <w:r w:rsidR="004D5412">
              <w:rPr>
                <w:rFonts w:ascii="Arial" w:hAnsi="Arial" w:cs="Arial"/>
                <w:sz w:val="20"/>
                <w:lang w:val="es-US"/>
              </w:rPr>
              <w:t xml:space="preserve">de </w:t>
            </w:r>
            <w:r w:rsidR="004D5412" w:rsidRPr="004D5412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</w:tc>
      </w:tr>
      <w:tr w:rsidR="00C32A3F" w:rsidRPr="007073E2" w14:paraId="2439E8FB" w14:textId="77777777" w:rsidTr="00C010F5">
        <w:tc>
          <w:tcPr>
            <w:tcW w:w="1217" w:type="dxa"/>
          </w:tcPr>
          <w:p w14:paraId="6AF9201C" w14:textId="7D5D3A18" w:rsidR="00C32A3F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</w:t>
            </w:r>
            <w:r w:rsidR="00265FA8">
              <w:rPr>
                <w:rFonts w:ascii="Arial" w:hAnsi="Arial" w:cs="Arial"/>
                <w:sz w:val="20"/>
                <w:lang w:val="es-US"/>
              </w:rPr>
              <w:t>6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251BF1D" w14:textId="02F6E9A8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</w:t>
            </w:r>
            <w:r w:rsidR="004D5412">
              <w:rPr>
                <w:rFonts w:ascii="Arial" w:hAnsi="Arial" w:cs="Arial"/>
                <w:sz w:val="20"/>
                <w:lang w:val="es-US"/>
              </w:rPr>
              <w:t>0</w:t>
            </w:r>
            <w:r w:rsidRPr="007073E2">
              <w:rPr>
                <w:rFonts w:ascii="Arial" w:hAnsi="Arial" w:cs="Arial"/>
                <w:sz w:val="20"/>
                <w:lang w:val="es-US"/>
              </w:rPr>
              <w:t>/</w:t>
            </w:r>
            <w:r w:rsidR="004D5412"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8BF0BF2" w14:textId="26108C3C" w:rsidR="00C32A3F" w:rsidRPr="007073E2" w:rsidRDefault="00C32A3F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del </w:t>
            </w:r>
            <w:r w:rsidR="004D5412" w:rsidRPr="004D5412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  <w:tr w:rsidR="004D5412" w:rsidRPr="007073E2" w14:paraId="06CB9473" w14:textId="77777777" w:rsidTr="00C010F5">
        <w:tc>
          <w:tcPr>
            <w:tcW w:w="1217" w:type="dxa"/>
          </w:tcPr>
          <w:p w14:paraId="1DA43E9E" w14:textId="4B0AA757" w:rsidR="004D5412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11/12/2017</w:t>
            </w:r>
          </w:p>
        </w:tc>
        <w:tc>
          <w:tcPr>
            <w:tcW w:w="1217" w:type="dxa"/>
          </w:tcPr>
          <w:p w14:paraId="4102F629" w14:textId="34EFC9D6" w:rsidR="004D5412" w:rsidRPr="007073E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13/12/2017</w:t>
            </w:r>
          </w:p>
        </w:tc>
        <w:tc>
          <w:tcPr>
            <w:tcW w:w="6633" w:type="dxa"/>
          </w:tcPr>
          <w:p w14:paraId="1839CC89" w14:textId="76AA63B0" w:rsidR="004D5412" w:rsidRDefault="004D5412" w:rsidP="0063693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Coordinaciones de trabajo</w:t>
            </w:r>
            <w:r w:rsidR="00C855C6">
              <w:rPr>
                <w:rFonts w:ascii="Arial" w:hAnsi="Arial" w:cs="Arial"/>
                <w:sz w:val="20"/>
                <w:lang w:val="es-US"/>
              </w:rPr>
              <w:t xml:space="preserve"> para mejorar los documentos de:</w:t>
            </w:r>
          </w:p>
          <w:p w14:paraId="5145517D" w14:textId="77777777" w:rsidR="004D5412" w:rsidRDefault="004D5412" w:rsidP="00636935">
            <w:pPr>
              <w:pStyle w:val="Prrafodelista"/>
              <w:numPr>
                <w:ilvl w:val="0"/>
                <w:numId w:val="23"/>
              </w:num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4D5412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  <w:p w14:paraId="29AA56AB" w14:textId="2D5C80CA" w:rsidR="004D5412" w:rsidRDefault="004D5412" w:rsidP="00636935">
            <w:pPr>
              <w:pStyle w:val="Prrafodelista"/>
              <w:numPr>
                <w:ilvl w:val="0"/>
                <w:numId w:val="23"/>
              </w:num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4D5412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  <w:tr w:rsidR="00911EA5" w:rsidRPr="007073E2" w14:paraId="4C76E6FB" w14:textId="77777777" w:rsidTr="00C010F5">
        <w:tc>
          <w:tcPr>
            <w:tcW w:w="1217" w:type="dxa"/>
          </w:tcPr>
          <w:p w14:paraId="72C233A4" w14:textId="20C7B697" w:rsidR="00911EA5" w:rsidRPr="007073E2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1F441490" w14:textId="28B47734" w:rsidR="00911EA5" w:rsidRPr="007073E2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8</w:t>
            </w:r>
            <w:r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11D5A711" w14:textId="2E4DD025" w:rsidR="00911EA5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Elaboración de </w:t>
            </w:r>
            <w:r w:rsidRPr="001F00C1">
              <w:rPr>
                <w:rFonts w:ascii="Arial" w:hAnsi="Arial" w:cs="Arial"/>
                <w:sz w:val="20"/>
                <w:lang w:val="es-US"/>
              </w:rPr>
              <w:t>Informe de actividades</w:t>
            </w:r>
          </w:p>
        </w:tc>
      </w:tr>
      <w:tr w:rsidR="00911EA5" w:rsidRPr="007073E2" w14:paraId="41D21B4A" w14:textId="77777777" w:rsidTr="00C010F5">
        <w:tc>
          <w:tcPr>
            <w:tcW w:w="1217" w:type="dxa"/>
          </w:tcPr>
          <w:p w14:paraId="5CABA326" w14:textId="68830D7E" w:rsidR="00911EA5" w:rsidRPr="007073E2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8</w:t>
            </w:r>
            <w:r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3F9ECAF6" w14:textId="41D42CF5" w:rsidR="00911EA5" w:rsidRPr="007073E2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8</w:t>
            </w:r>
            <w:r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9DD1742" w14:textId="6038FAF9" w:rsidR="00911EA5" w:rsidRPr="007073E2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Inducción sobre propuesta de arquitectura tecnológica</w:t>
            </w:r>
          </w:p>
        </w:tc>
      </w:tr>
      <w:tr w:rsidR="00911EA5" w:rsidRPr="007073E2" w14:paraId="28D2E622" w14:textId="77777777" w:rsidTr="00636935">
        <w:trPr>
          <w:trHeight w:val="249"/>
        </w:trPr>
        <w:tc>
          <w:tcPr>
            <w:tcW w:w="1217" w:type="dxa"/>
          </w:tcPr>
          <w:p w14:paraId="346DB755" w14:textId="2A960BDF" w:rsidR="00911EA5" w:rsidRPr="007073E2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18</w:t>
            </w:r>
            <w:r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1EFC5C" w14:textId="6E29E503" w:rsidR="00911EA5" w:rsidRPr="007073E2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18</w:t>
            </w:r>
            <w:r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CAB75CD" w14:textId="2F0385AF" w:rsidR="00911EA5" w:rsidRPr="007073E2" w:rsidRDefault="00911EA5" w:rsidP="00911EA5">
            <w:pPr>
              <w:spacing w:before="0" w:line="276" w:lineRule="auto"/>
              <w:rPr>
                <w:rFonts w:ascii="Arial" w:hAnsi="Arial" w:cs="Arial"/>
                <w:sz w:val="20"/>
                <w:lang w:val="es-US"/>
              </w:rPr>
            </w:pPr>
            <w:r w:rsidRPr="00C010F5">
              <w:rPr>
                <w:rFonts w:ascii="Arial" w:hAnsi="Arial" w:cs="Arial"/>
                <w:sz w:val="20"/>
                <w:lang w:val="es-US"/>
              </w:rPr>
              <w:t>Presentación de entregables finales</w:t>
            </w:r>
          </w:p>
        </w:tc>
      </w:tr>
    </w:tbl>
    <w:p w14:paraId="4DCAB123" w14:textId="77777777" w:rsidR="000A0417" w:rsidRPr="007073E2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7073E2" w:rsidRDefault="002423D9" w:rsidP="0079141F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En cumplimiento con los </w:t>
      </w:r>
      <w:r w:rsidR="005B2A73" w:rsidRPr="007073E2">
        <w:rPr>
          <w:rFonts w:ascii="Arial" w:hAnsi="Arial" w:cs="Arial"/>
          <w:sz w:val="20"/>
        </w:rPr>
        <w:t xml:space="preserve">requerimientos </w:t>
      </w:r>
      <w:r w:rsidRPr="007073E2">
        <w:rPr>
          <w:rFonts w:ascii="Arial" w:hAnsi="Arial" w:cs="Arial"/>
          <w:sz w:val="20"/>
        </w:rPr>
        <w:t xml:space="preserve">establecidos en </w:t>
      </w:r>
      <w:r w:rsidR="00BA73AE" w:rsidRPr="007073E2">
        <w:rPr>
          <w:rFonts w:ascii="Arial" w:hAnsi="Arial" w:cs="Arial"/>
          <w:sz w:val="20"/>
        </w:rPr>
        <w:t>los términos de referencia se elaboró los siguientes entregables</w:t>
      </w:r>
      <w:r w:rsidRPr="007073E2">
        <w:rPr>
          <w:rFonts w:ascii="Arial" w:hAnsi="Arial" w:cs="Arial"/>
          <w:sz w:val="20"/>
        </w:rPr>
        <w:t>:</w:t>
      </w:r>
    </w:p>
    <w:p w14:paraId="6D833470" w14:textId="175EF00F" w:rsid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actividades</w:t>
      </w:r>
      <w:r>
        <w:rPr>
          <w:rFonts w:ascii="Arial" w:hAnsi="Arial" w:cs="Arial"/>
          <w:sz w:val="20"/>
          <w:lang w:val="es-US"/>
        </w:rPr>
        <w:t>, el cual contiene</w:t>
      </w:r>
      <w:r w:rsidR="0079141F">
        <w:rPr>
          <w:rFonts w:ascii="Arial" w:hAnsi="Arial" w:cs="Arial"/>
          <w:sz w:val="20"/>
          <w:lang w:val="es-US"/>
        </w:rPr>
        <w:t>:</w:t>
      </w:r>
    </w:p>
    <w:p w14:paraId="3B05278A" w14:textId="5D7FA240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La descripción de las actividades realizadas.</w:t>
      </w:r>
    </w:p>
    <w:p w14:paraId="4FCAA0FD" w14:textId="69E7C632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Conclusiones del servicio consultoría.</w:t>
      </w:r>
    </w:p>
    <w:p w14:paraId="2B8EEB2B" w14:textId="7BAB5596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Recomendaciones del servicio de consultoría.</w:t>
      </w:r>
    </w:p>
    <w:p w14:paraId="24E0A19F" w14:textId="77777777" w:rsidR="00164D1A" w:rsidRPr="00164D1A" w:rsidRDefault="00164D1A" w:rsidP="0079141F">
      <w:pPr>
        <w:pStyle w:val="Prrafodelista"/>
        <w:ind w:left="792"/>
        <w:jc w:val="both"/>
        <w:rPr>
          <w:rFonts w:ascii="Arial" w:hAnsi="Arial" w:cs="Arial"/>
          <w:sz w:val="20"/>
          <w:lang w:val="es-US"/>
        </w:rPr>
      </w:pPr>
    </w:p>
    <w:p w14:paraId="58A511CC" w14:textId="095B0880" w:rsidR="00164D1A" w:rsidRP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la visión de arquitectura de software para el OSCE</w:t>
      </w:r>
      <w:r w:rsidR="0079141F">
        <w:rPr>
          <w:rFonts w:ascii="Arial" w:hAnsi="Arial" w:cs="Arial"/>
          <w:sz w:val="20"/>
          <w:lang w:val="es-US"/>
        </w:rPr>
        <w:t>, el cual contiene:</w:t>
      </w:r>
    </w:p>
    <w:p w14:paraId="4FA8B26C" w14:textId="0461CB7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Diagnóstico de las arquitecturas de software actuales del OSCE.</w:t>
      </w:r>
    </w:p>
    <w:p w14:paraId="15D1C7FB" w14:textId="36C7CAE8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Propuesta de la visión de arquitecturas de software para el OSCE.</w:t>
      </w:r>
    </w:p>
    <w:p w14:paraId="2BF1AD7E" w14:textId="29BFF9F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Estrategias para la transición de arquitecturas de software en el OSCE.</w:t>
      </w:r>
    </w:p>
    <w:p w14:paraId="71999549" w14:textId="44E5C18A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Relación de la propuesta de visión de arquitectura de software con la NTP ISO/IEC 12207: 2016.</w:t>
      </w:r>
    </w:p>
    <w:p w14:paraId="2C00FB8B" w14:textId="3D3E9D2E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Criterios para determinar la viabilidad de aplicación de la arquitectura de software propuesta en los nuevos desarrollos de software de los nuevos sistemas del OSCE.</w:t>
      </w:r>
    </w:p>
    <w:p w14:paraId="3CBEDE3C" w14:textId="77777777" w:rsidR="00164D1A" w:rsidRPr="00164D1A" w:rsidRDefault="00164D1A" w:rsidP="0079141F">
      <w:pPr>
        <w:pStyle w:val="Prrafodelista"/>
        <w:ind w:left="792"/>
        <w:jc w:val="both"/>
        <w:rPr>
          <w:rFonts w:ascii="Arial" w:hAnsi="Arial" w:cs="Arial"/>
          <w:sz w:val="20"/>
          <w:lang w:val="es-US"/>
        </w:rPr>
      </w:pPr>
    </w:p>
    <w:p w14:paraId="01607C5E" w14:textId="3EAF8846" w:rsidR="00164D1A" w:rsidRPr="00164D1A" w:rsidRDefault="00164D1A" w:rsidP="0079141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Informe de inducción sobre la tendencia de arquitectura de software del OSCE</w:t>
      </w:r>
      <w:r w:rsidR="00251743">
        <w:rPr>
          <w:rFonts w:ascii="Arial" w:hAnsi="Arial" w:cs="Arial"/>
          <w:sz w:val="20"/>
          <w:lang w:val="es-US"/>
        </w:rPr>
        <w:t>, el cual contiene:</w:t>
      </w:r>
    </w:p>
    <w:p w14:paraId="6D8FCA15" w14:textId="61E2F3B7" w:rsidR="00164D1A" w:rsidRPr="00164D1A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Lista de asistencia de participantes, las inducciones podrán realizarse en más de una sesión con un total mínimo acumulado de 02 horas.</w:t>
      </w:r>
    </w:p>
    <w:p w14:paraId="04E4D5E5" w14:textId="5AAC9436" w:rsidR="00BA73AE" w:rsidRDefault="00164D1A" w:rsidP="0079141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  <w:lang w:val="es-US"/>
        </w:rPr>
      </w:pPr>
      <w:r w:rsidRPr="00164D1A">
        <w:rPr>
          <w:rFonts w:ascii="Arial" w:hAnsi="Arial" w:cs="Arial"/>
          <w:sz w:val="20"/>
          <w:lang w:val="es-US"/>
        </w:rPr>
        <w:t>Material utilizado durante la inducción.</w:t>
      </w:r>
    </w:p>
    <w:p w14:paraId="387EBFE0" w14:textId="77777777" w:rsidR="00164D1A" w:rsidRPr="007073E2" w:rsidRDefault="00164D1A" w:rsidP="00164D1A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59534600" w:rsidR="00645AC0" w:rsidRPr="007073E2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realizaron reuniones de trabajo con personal del área usuaria para precisar los requerimientos planteados en los términos de referencia y </w:t>
      </w:r>
      <w:r w:rsidR="00790BD0">
        <w:rPr>
          <w:rFonts w:ascii="Arial" w:hAnsi="Arial" w:cs="Arial"/>
          <w:sz w:val="20"/>
        </w:rPr>
        <w:t>recoger los lineamientos para elaborar</w:t>
      </w:r>
      <w:r w:rsidRPr="007073E2">
        <w:rPr>
          <w:rFonts w:ascii="Arial" w:hAnsi="Arial" w:cs="Arial"/>
          <w:sz w:val="20"/>
        </w:rPr>
        <w:t xml:space="preserve"> las propuestas de </w:t>
      </w:r>
      <w:r w:rsidR="00790BD0">
        <w:rPr>
          <w:rFonts w:ascii="Arial" w:hAnsi="Arial" w:cs="Arial"/>
          <w:sz w:val="20"/>
        </w:rPr>
        <w:t xml:space="preserve">arquitecturas de </w:t>
      </w:r>
      <w:r w:rsidR="001A54B4">
        <w:rPr>
          <w:rFonts w:ascii="Arial" w:hAnsi="Arial" w:cs="Arial"/>
          <w:sz w:val="20"/>
        </w:rPr>
        <w:t>software.</w:t>
      </w:r>
      <w:r w:rsidR="00790BD0">
        <w:rPr>
          <w:rFonts w:ascii="Arial" w:hAnsi="Arial" w:cs="Arial"/>
          <w:sz w:val="20"/>
        </w:rPr>
        <w:t xml:space="preserve"> </w:t>
      </w:r>
    </w:p>
    <w:p w14:paraId="711EEF8F" w14:textId="1A01B734" w:rsidR="00BA3CDF" w:rsidRDefault="00BA3CDF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información utilizada para </w:t>
      </w:r>
      <w:r w:rsidR="00BD6707">
        <w:rPr>
          <w:rFonts w:ascii="Arial" w:hAnsi="Arial" w:cs="Arial"/>
          <w:sz w:val="20"/>
        </w:rPr>
        <w:t xml:space="preserve">elaborar </w:t>
      </w:r>
      <w:r>
        <w:rPr>
          <w:rFonts w:ascii="Arial" w:hAnsi="Arial" w:cs="Arial"/>
          <w:sz w:val="20"/>
        </w:rPr>
        <w:t xml:space="preserve">las arquitecturas </w:t>
      </w:r>
      <w:r w:rsidR="00BD6707">
        <w:rPr>
          <w:rFonts w:ascii="Arial" w:hAnsi="Arial" w:cs="Arial"/>
          <w:sz w:val="20"/>
        </w:rPr>
        <w:t xml:space="preserve">de software </w:t>
      </w:r>
      <w:r>
        <w:rPr>
          <w:rFonts w:ascii="Arial" w:hAnsi="Arial" w:cs="Arial"/>
          <w:sz w:val="20"/>
        </w:rPr>
        <w:t xml:space="preserve">de referencia se </w:t>
      </w:r>
      <w:r w:rsidR="00A71BDC">
        <w:rPr>
          <w:rFonts w:ascii="Arial" w:hAnsi="Arial" w:cs="Arial"/>
          <w:sz w:val="20"/>
        </w:rPr>
        <w:t>realizó</w:t>
      </w:r>
      <w:r>
        <w:rPr>
          <w:rFonts w:ascii="Arial" w:hAnsi="Arial" w:cs="Arial"/>
          <w:sz w:val="20"/>
        </w:rPr>
        <w:t xml:space="preserve"> considerando lo siguiente:</w:t>
      </w:r>
    </w:p>
    <w:p w14:paraId="596C9A41" w14:textId="1045CEF6" w:rsidR="00BA3CDF" w:rsidRPr="00BD6707" w:rsidRDefault="00BA3CDF" w:rsidP="00BA3CD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>
        <w:rPr>
          <w:rFonts w:ascii="Arial" w:hAnsi="Arial" w:cs="Arial"/>
          <w:sz w:val="20"/>
        </w:rPr>
        <w:t xml:space="preserve">Información de los sistemas del OSCE </w:t>
      </w:r>
      <w:r w:rsidR="00A71BDC">
        <w:rPr>
          <w:rFonts w:ascii="Arial" w:hAnsi="Arial" w:cs="Arial"/>
          <w:sz w:val="20"/>
        </w:rPr>
        <w:t xml:space="preserve">que estén </w:t>
      </w:r>
      <w:r>
        <w:rPr>
          <w:rFonts w:ascii="Arial" w:hAnsi="Arial" w:cs="Arial"/>
          <w:sz w:val="20"/>
        </w:rPr>
        <w:t>desplegados en ambientes de producción al 01/11/2017.</w:t>
      </w:r>
    </w:p>
    <w:p w14:paraId="38F11C68" w14:textId="46AEE2CA" w:rsidR="00BD6707" w:rsidRPr="00BD6707" w:rsidRDefault="00BD6707" w:rsidP="00BA3CD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>
        <w:rPr>
          <w:rFonts w:ascii="Arial" w:hAnsi="Arial" w:cs="Arial"/>
          <w:sz w:val="20"/>
        </w:rPr>
        <w:t>Productos software con los que cuenta el OSCE a la fecha.</w:t>
      </w:r>
    </w:p>
    <w:p w14:paraId="14DB934E" w14:textId="4EDDF28C" w:rsidR="00BD6707" w:rsidRDefault="00BD6707" w:rsidP="00BA3CD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0"/>
          <w:lang w:val="es-US"/>
        </w:rPr>
      </w:pPr>
      <w:r>
        <w:rPr>
          <w:rFonts w:ascii="Arial" w:hAnsi="Arial" w:cs="Arial"/>
          <w:sz w:val="20"/>
          <w:lang w:val="es-US"/>
        </w:rPr>
        <w:t>Requerimientos de negocio del OSCE.</w:t>
      </w:r>
    </w:p>
    <w:p w14:paraId="4EC7925F" w14:textId="4AD9262D" w:rsidR="009D7C92" w:rsidRPr="007073E2" w:rsidRDefault="009D7C92" w:rsidP="00BA3CDF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73C91888" w14:textId="5FB3D583" w:rsidR="00AB3740" w:rsidRPr="007073E2" w:rsidRDefault="00AB374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lastRenderedPageBreak/>
        <w:t>Los entregables solicitados se encuentran en las siguientes carpet</w:t>
      </w:r>
      <w:bookmarkStart w:id="4" w:name="_GoBack"/>
      <w:bookmarkEnd w:id="4"/>
      <w:r w:rsidRPr="007073E2">
        <w:rPr>
          <w:rFonts w:ascii="Arial" w:hAnsi="Arial" w:cs="Arial"/>
          <w:sz w:val="20"/>
        </w:rPr>
        <w:t>as</w:t>
      </w:r>
      <w:r w:rsidR="000F4FD2" w:rsidRPr="007073E2">
        <w:rPr>
          <w:rFonts w:ascii="Arial" w:hAnsi="Arial" w:cs="Arial"/>
          <w:sz w:val="20"/>
        </w:rPr>
        <w:t xml:space="preserve"> del medio </w:t>
      </w:r>
      <w:r w:rsidR="00653F42" w:rsidRPr="007073E2">
        <w:rPr>
          <w:rFonts w:ascii="Arial" w:hAnsi="Arial" w:cs="Arial"/>
          <w:sz w:val="20"/>
        </w:rPr>
        <w:t>digital</w:t>
      </w:r>
      <w:r w:rsidR="000F4FD2" w:rsidRPr="007073E2">
        <w:rPr>
          <w:rFonts w:ascii="Arial" w:hAnsi="Arial" w:cs="Arial"/>
          <w:sz w:val="20"/>
        </w:rPr>
        <w:t xml:space="preserve"> proporcionado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7932" w:type="dxa"/>
        <w:tblInd w:w="788" w:type="dxa"/>
        <w:tblLayout w:type="fixed"/>
        <w:tblLook w:val="04A0" w:firstRow="1" w:lastRow="0" w:firstColumn="1" w:lastColumn="0" w:noHBand="0" w:noVBand="1"/>
      </w:tblPr>
      <w:tblGrid>
        <w:gridCol w:w="1447"/>
        <w:gridCol w:w="6485"/>
      </w:tblGrid>
      <w:tr w:rsidR="00AB3740" w:rsidRPr="007073E2" w14:paraId="6B21DCB0" w14:textId="77777777" w:rsidTr="00246371">
        <w:trPr>
          <w:trHeight w:val="380"/>
        </w:trPr>
        <w:tc>
          <w:tcPr>
            <w:tcW w:w="1447" w:type="dxa"/>
            <w:shd w:val="clear" w:color="auto" w:fill="FFC000"/>
          </w:tcPr>
          <w:p w14:paraId="4C3C7139" w14:textId="259F0BD9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Ubicación</w:t>
            </w:r>
          </w:p>
        </w:tc>
        <w:tc>
          <w:tcPr>
            <w:tcW w:w="6485" w:type="dxa"/>
            <w:shd w:val="clear" w:color="auto" w:fill="FFC000"/>
          </w:tcPr>
          <w:p w14:paraId="45D08241" w14:textId="1314F245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Entregables </w:t>
            </w:r>
          </w:p>
        </w:tc>
      </w:tr>
      <w:tr w:rsidR="00246371" w:rsidRPr="007073E2" w14:paraId="5BDEA9C2" w14:textId="77777777" w:rsidTr="00246371">
        <w:tc>
          <w:tcPr>
            <w:tcW w:w="1447" w:type="dxa"/>
          </w:tcPr>
          <w:p w14:paraId="278602F8" w14:textId="53FFA1E7" w:rsidR="00246371" w:rsidRPr="007073E2" w:rsidRDefault="00BC269E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6485" w:type="dxa"/>
          </w:tcPr>
          <w:p w14:paraId="5B2CAC66" w14:textId="56ACC5DE" w:rsidR="00246371" w:rsidRPr="007073E2" w:rsidRDefault="00BC269E" w:rsidP="00BC269E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Contiene los recursos utilizados para la elaboración del </w:t>
            </w:r>
            <w:r w:rsidRPr="00164D1A">
              <w:rPr>
                <w:rFonts w:ascii="Arial" w:hAnsi="Arial" w:cs="Arial"/>
                <w:sz w:val="20"/>
                <w:lang w:val="es-US"/>
              </w:rPr>
              <w:t>Informe de la visión de arquitectura de software para el OSCE</w:t>
            </w:r>
          </w:p>
        </w:tc>
      </w:tr>
      <w:tr w:rsidR="00246371" w:rsidRPr="007073E2" w14:paraId="043FB36E" w14:textId="77777777" w:rsidTr="00246371">
        <w:tc>
          <w:tcPr>
            <w:tcW w:w="1447" w:type="dxa"/>
          </w:tcPr>
          <w:p w14:paraId="399CD30B" w14:textId="552B768F" w:rsidR="00246371" w:rsidRPr="007073E2" w:rsidRDefault="00BC269E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246371" w:rsidRPr="007073E2"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6485" w:type="dxa"/>
          </w:tcPr>
          <w:p w14:paraId="50591321" w14:textId="0AF87DF7" w:rsidR="00246371" w:rsidRPr="00BC269E" w:rsidRDefault="00BC269E" w:rsidP="00BC269E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</w:rPr>
              <w:t xml:space="preserve">Contiene los recursos utilizados para la elaboración del </w:t>
            </w:r>
            <w:r w:rsidRPr="00BC269E">
              <w:rPr>
                <w:rFonts w:ascii="Arial" w:hAnsi="Arial" w:cs="Arial"/>
                <w:sz w:val="20"/>
                <w:lang w:val="es-US"/>
              </w:rPr>
              <w:t>Informe de inducción sobre la tendencia de arquitectura de software del OSCE</w:t>
            </w:r>
          </w:p>
        </w:tc>
      </w:tr>
    </w:tbl>
    <w:p w14:paraId="23A4A49C" w14:textId="77777777" w:rsidR="00DF4BC1" w:rsidRPr="007073E2" w:rsidRDefault="00DF4BC1" w:rsidP="00B527A0">
      <w:pPr>
        <w:jc w:val="both"/>
        <w:rPr>
          <w:rFonts w:ascii="Arial" w:hAnsi="Arial" w:cs="Arial"/>
          <w:sz w:val="20"/>
        </w:rPr>
      </w:pPr>
      <w:bookmarkStart w:id="5" w:name="_Toc285461616"/>
    </w:p>
    <w:p w14:paraId="03F3C5EE" w14:textId="77777777" w:rsidR="00D20E36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6" w:name="_Toc501100762"/>
      <w:r w:rsidRPr="007073E2">
        <w:rPr>
          <w:rFonts w:ascii="Arial" w:hAnsi="Arial" w:cs="Arial"/>
          <w:b/>
          <w:sz w:val="20"/>
          <w:lang w:val="es-PE" w:eastAsia="es-PE"/>
        </w:rPr>
        <w:t>Conclusiones</w:t>
      </w:r>
      <w:bookmarkEnd w:id="6"/>
      <w:r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5"/>
    </w:p>
    <w:p w14:paraId="18550EE8" w14:textId="636A610C" w:rsidR="00784CED" w:rsidRPr="007073E2" w:rsidRDefault="00D76C8A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</w:t>
      </w:r>
      <w:r w:rsidR="008C0840">
        <w:rPr>
          <w:rFonts w:ascii="Arial" w:hAnsi="Arial" w:cs="Arial"/>
          <w:sz w:val="20"/>
        </w:rPr>
        <w:t>ha elaborado los documentos solicitados en la presente consultoría</w:t>
      </w:r>
      <w:r w:rsidRPr="007073E2">
        <w:rPr>
          <w:rFonts w:ascii="Arial" w:hAnsi="Arial" w:cs="Arial"/>
          <w:sz w:val="20"/>
        </w:rPr>
        <w:t>.</w:t>
      </w:r>
    </w:p>
    <w:p w14:paraId="1BA1C35E" w14:textId="2F7719A5" w:rsidR="00754ADF" w:rsidRPr="007073E2" w:rsidRDefault="00426EAE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actualización tecnológica de varios sistemas del OSCE debe tomar como base l</w:t>
      </w:r>
      <w:r w:rsidR="008C0840">
        <w:rPr>
          <w:rFonts w:ascii="Arial" w:hAnsi="Arial" w:cs="Arial"/>
          <w:sz w:val="20"/>
        </w:rPr>
        <w:t>a propuesta de visión de la arquitectura de software del OSCE</w:t>
      </w:r>
      <w:r w:rsidR="003F1556" w:rsidRPr="007073E2">
        <w:rPr>
          <w:rFonts w:ascii="Arial" w:hAnsi="Arial" w:cs="Arial"/>
          <w:sz w:val="20"/>
        </w:rPr>
        <w:t>.</w:t>
      </w:r>
    </w:p>
    <w:p w14:paraId="6FFF2BDC" w14:textId="77777777" w:rsidR="00DF4BC1" w:rsidRPr="007073E2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6F758415" w:rsidR="0096534D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7" w:name="_Toc285461618"/>
      <w:bookmarkStart w:id="8" w:name="_Toc501100763"/>
      <w:r w:rsidRPr="007073E2">
        <w:rPr>
          <w:rFonts w:ascii="Arial" w:hAnsi="Arial" w:cs="Arial"/>
          <w:b/>
          <w:sz w:val="20"/>
          <w:lang w:val="es-PE" w:eastAsia="es-PE"/>
        </w:rPr>
        <w:t>Recomendaciones</w:t>
      </w:r>
      <w:bookmarkEnd w:id="1"/>
      <w:bookmarkEnd w:id="7"/>
      <w:bookmarkEnd w:id="8"/>
    </w:p>
    <w:p w14:paraId="33ABC63F" w14:textId="3AB36A4D" w:rsidR="001F1F8B" w:rsidRDefault="001F1F8B" w:rsidP="00043C24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Utilizar el material de inducción proporcionado en esta consultoría para incluirlo como parte de inducción de todo nuevo personal del OSCE</w:t>
      </w:r>
      <w:r w:rsidR="006B4125">
        <w:rPr>
          <w:rFonts w:ascii="Arial" w:hAnsi="Arial" w:cs="Arial"/>
          <w:sz w:val="20"/>
        </w:rPr>
        <w:t xml:space="preserve"> que tenga vinculación con el desarrollo de software</w:t>
      </w:r>
      <w:r>
        <w:rPr>
          <w:rFonts w:ascii="Arial" w:hAnsi="Arial" w:cs="Arial"/>
          <w:sz w:val="20"/>
        </w:rPr>
        <w:t>.</w:t>
      </w:r>
    </w:p>
    <w:p w14:paraId="5ECA4B63" w14:textId="4069BE06" w:rsidR="00784CED" w:rsidRPr="007073E2" w:rsidRDefault="008C0840" w:rsidP="00043C24">
      <w:pPr>
        <w:pStyle w:val="Prrafodelista"/>
        <w:numPr>
          <w:ilvl w:val="1"/>
          <w:numId w:val="18"/>
        </w:numPr>
        <w:spacing w:before="0" w:after="120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Planificar y ejecutar pilotos para cumplir con lo planteado en la sección </w:t>
      </w:r>
      <w:r w:rsidR="00983A39">
        <w:rPr>
          <w:rFonts w:ascii="Arial" w:hAnsi="Arial" w:cs="Arial"/>
          <w:sz w:val="20"/>
        </w:rPr>
        <w:t>de E</w:t>
      </w:r>
      <w:r w:rsidR="00983A39" w:rsidRPr="008C0840">
        <w:rPr>
          <w:rFonts w:ascii="Arial" w:hAnsi="Arial" w:cs="Arial"/>
          <w:sz w:val="20"/>
        </w:rPr>
        <w:t xml:space="preserve">strategias para la transición de arquitecturas de software en el </w:t>
      </w:r>
      <w:r w:rsidRPr="008C0840">
        <w:rPr>
          <w:rFonts w:ascii="Arial" w:hAnsi="Arial" w:cs="Arial"/>
          <w:sz w:val="20"/>
        </w:rPr>
        <w:t xml:space="preserve">OSCE </w:t>
      </w:r>
      <w:r>
        <w:rPr>
          <w:rFonts w:ascii="Arial" w:hAnsi="Arial" w:cs="Arial"/>
          <w:sz w:val="20"/>
        </w:rPr>
        <w:t xml:space="preserve">contenida en el </w:t>
      </w:r>
      <w:r w:rsidRPr="008C0840">
        <w:rPr>
          <w:rFonts w:ascii="Arial" w:hAnsi="Arial" w:cs="Arial"/>
          <w:sz w:val="20"/>
        </w:rPr>
        <w:t>Informe de la visión de arquitectura de software para el OSCE</w:t>
      </w:r>
      <w:r w:rsidR="003E0666" w:rsidRPr="007073E2">
        <w:rPr>
          <w:rFonts w:ascii="Arial" w:hAnsi="Arial" w:cs="Arial"/>
          <w:sz w:val="20"/>
        </w:rPr>
        <w:t>.</w:t>
      </w:r>
    </w:p>
    <w:p w14:paraId="52728B8B" w14:textId="77777777" w:rsidR="008C0840" w:rsidRPr="008C0840" w:rsidRDefault="008C0840" w:rsidP="00043C24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0"/>
        </w:rPr>
      </w:pPr>
      <w:r w:rsidRPr="008C0840">
        <w:rPr>
          <w:rFonts w:ascii="Arial" w:hAnsi="Arial" w:cs="Arial"/>
          <w:sz w:val="20"/>
        </w:rPr>
        <w:t>Realizar capacitaciones del personal de la institución en las tecnologías propuestas contenida en el Informe de la visión de arquitectura de software para el OSCE.</w:t>
      </w:r>
    </w:p>
    <w:p w14:paraId="613272D3" w14:textId="50B8C750" w:rsidR="00117099" w:rsidRPr="008C0840" w:rsidRDefault="00117099" w:rsidP="008C0840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  <w:r w:rsidRPr="008C0840">
        <w:rPr>
          <w:rFonts w:ascii="Arial" w:hAnsi="Arial" w:cs="Arial"/>
          <w:b/>
          <w:sz w:val="20"/>
          <w:lang w:val="es-PE" w:eastAsia="es-PE"/>
        </w:rPr>
        <w:br w:type="page"/>
      </w:r>
    </w:p>
    <w:p w14:paraId="428DD695" w14:textId="7A065D33" w:rsidR="00C647F7" w:rsidRPr="007073E2" w:rsidRDefault="00DF4BC1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9" w:name="_Toc501100764"/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>Anexo 01: Actas de reunión de trabajo</w:t>
      </w:r>
      <w:bookmarkEnd w:id="9"/>
    </w:p>
    <w:sectPr w:rsidR="00C647F7" w:rsidRPr="007073E2" w:rsidSect="00955E0C">
      <w:headerReference w:type="default" r:id="rId9"/>
      <w:footerReference w:type="default" r:id="rId10"/>
      <w:pgSz w:w="11906" w:h="16838"/>
      <w:pgMar w:top="1247" w:right="1418" w:bottom="1247" w:left="1418" w:header="709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1FEC2" w14:textId="77777777" w:rsidR="00527F2F" w:rsidRDefault="00527F2F">
      <w:r>
        <w:separator/>
      </w:r>
    </w:p>
  </w:endnote>
  <w:endnote w:type="continuationSeparator" w:id="0">
    <w:p w14:paraId="58F2DBCA" w14:textId="77777777" w:rsidR="00527F2F" w:rsidRDefault="0052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85"/>
    </w:tblGrid>
    <w:tr w:rsidR="00E85A67" w14:paraId="78DF02EF" w14:textId="77777777" w:rsidTr="00955E0C">
      <w:trPr>
        <w:trHeight w:val="416"/>
      </w:trPr>
      <w:tc>
        <w:tcPr>
          <w:tcW w:w="908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E3D186E" w14:textId="77777777" w:rsidR="00E85A67" w:rsidRPr="009C0979" w:rsidRDefault="00E85A6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66A57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566A57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E85A67" w:rsidRPr="002C5534" w:rsidRDefault="00E85A67" w:rsidP="00955E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E7890" w14:textId="77777777" w:rsidR="00527F2F" w:rsidRDefault="00527F2F">
      <w:r>
        <w:separator/>
      </w:r>
    </w:p>
  </w:footnote>
  <w:footnote w:type="continuationSeparator" w:id="0">
    <w:p w14:paraId="564BAD7F" w14:textId="77777777" w:rsidR="00527F2F" w:rsidRDefault="00527F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8"/>
      <w:gridCol w:w="6285"/>
      <w:gridCol w:w="851"/>
      <w:gridCol w:w="679"/>
    </w:tblGrid>
    <w:tr w:rsidR="00C677C0" w:rsidRPr="005F64C8" w14:paraId="1ACEFD1C" w14:textId="77777777" w:rsidTr="00140D8E">
      <w:trPr>
        <w:cantSplit/>
        <w:trHeight w:val="41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C677C0" w:rsidRPr="005F64C8" w:rsidRDefault="00C677C0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815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EE06EC7" w:rsidR="00C677C0" w:rsidRPr="005F64C8" w:rsidRDefault="006A55E2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6A55E2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REALIZAR EL DIAGNÓSTICO Y PROPUESTA DE VISIÓN DE ARQUITECTURA DE SOFTWARE DE LOS NUEVOS SISTEMAS DEL OSCE</w:t>
          </w:r>
        </w:p>
      </w:tc>
    </w:tr>
    <w:tr w:rsidR="00C677C0" w:rsidRPr="005F64C8" w14:paraId="31CF084A" w14:textId="77777777" w:rsidTr="00140D8E">
      <w:trPr>
        <w:cantSplit/>
        <w:trHeight w:val="33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28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C0F1877" w:rsidR="00C677C0" w:rsidRPr="005F64C8" w:rsidRDefault="00C677C0" w:rsidP="00B30AE2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5F64C8">
            <w:rPr>
              <w:rFonts w:ascii="Arial" w:hAnsi="Arial" w:cs="Arial"/>
              <w:bCs/>
              <w:sz w:val="16"/>
              <w:szCs w:val="16"/>
            </w:rPr>
            <w:t>Informe de Actividades</w:t>
          </w:r>
        </w:p>
      </w:tc>
      <w:tc>
        <w:tcPr>
          <w:tcW w:w="85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67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C677C0" w:rsidRPr="005F64C8" w:rsidRDefault="00C677C0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C677C0" w:rsidRDefault="00C67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9pt;height:10.9pt" o:bullet="t">
        <v:imagedata r:id="rId1" o:title="mso390"/>
      </v:shape>
    </w:pict>
  </w:numPicBullet>
  <w:abstractNum w:abstractNumId="0" w15:restartNumberingAfterBreak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 w15:restartNumberingAfterBreak="0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 w15:restartNumberingAfterBreak="0">
    <w:nsid w:val="1D126AEC"/>
    <w:multiLevelType w:val="hybridMultilevel"/>
    <w:tmpl w:val="5B16E932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29C22752"/>
    <w:multiLevelType w:val="hybridMultilevel"/>
    <w:tmpl w:val="589A83F6"/>
    <w:lvl w:ilvl="0" w:tplc="2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 w15:restartNumberingAfterBreak="0">
    <w:nsid w:val="5A0F4A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924F4E"/>
    <w:multiLevelType w:val="hybridMultilevel"/>
    <w:tmpl w:val="5B1255B2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5" w15:restartNumberingAfterBreak="0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 w15:restartNumberingAfterBreak="0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6"/>
  </w:num>
  <w:num w:numId="7">
    <w:abstractNumId w:val="22"/>
  </w:num>
  <w:num w:numId="8">
    <w:abstractNumId w:val="25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3"/>
  </w:num>
  <w:num w:numId="17">
    <w:abstractNumId w:val="20"/>
  </w:num>
  <w:num w:numId="18">
    <w:abstractNumId w:val="21"/>
  </w:num>
  <w:num w:numId="19">
    <w:abstractNumId w:val="23"/>
  </w:num>
  <w:num w:numId="20">
    <w:abstractNumId w:val="16"/>
  </w:num>
  <w:num w:numId="21">
    <w:abstractNumId w:val="17"/>
  </w:num>
  <w:num w:numId="22">
    <w:abstractNumId w:val="15"/>
  </w:num>
  <w:num w:numId="23">
    <w:abstractNumId w:val="19"/>
  </w:num>
  <w:num w:numId="24">
    <w:abstractNumId w:val="18"/>
  </w:num>
  <w:num w:numId="25">
    <w:abstractNumId w:val="24"/>
  </w:num>
  <w:num w:numId="26">
    <w:abstractNumId w:val="9"/>
  </w:num>
  <w:num w:numId="2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4DF1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3C24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789"/>
    <w:rsid w:val="000D1522"/>
    <w:rsid w:val="000D2251"/>
    <w:rsid w:val="000D3198"/>
    <w:rsid w:val="000D3B78"/>
    <w:rsid w:val="000D3EFA"/>
    <w:rsid w:val="000D40BB"/>
    <w:rsid w:val="000D48A8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8E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D8E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E00"/>
    <w:rsid w:val="00164124"/>
    <w:rsid w:val="00164553"/>
    <w:rsid w:val="00164D03"/>
    <w:rsid w:val="00164D1A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6191"/>
    <w:rsid w:val="00196A4F"/>
    <w:rsid w:val="00196BB7"/>
    <w:rsid w:val="00196F9B"/>
    <w:rsid w:val="00197029"/>
    <w:rsid w:val="0019759E"/>
    <w:rsid w:val="0019796F"/>
    <w:rsid w:val="001A1844"/>
    <w:rsid w:val="001A54B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3B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0C1"/>
    <w:rsid w:val="001F04ED"/>
    <w:rsid w:val="001F0783"/>
    <w:rsid w:val="001F0B1C"/>
    <w:rsid w:val="001F0CC9"/>
    <w:rsid w:val="001F1F8B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1DA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B02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743"/>
    <w:rsid w:val="00251A78"/>
    <w:rsid w:val="00251FB1"/>
    <w:rsid w:val="002526D8"/>
    <w:rsid w:val="0025281B"/>
    <w:rsid w:val="002539CC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5FA8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77BA0"/>
    <w:rsid w:val="0028064A"/>
    <w:rsid w:val="00281609"/>
    <w:rsid w:val="00281BE0"/>
    <w:rsid w:val="00281D2F"/>
    <w:rsid w:val="0028326E"/>
    <w:rsid w:val="00283A8F"/>
    <w:rsid w:val="00284615"/>
    <w:rsid w:val="00284E28"/>
    <w:rsid w:val="00284FD2"/>
    <w:rsid w:val="002854F7"/>
    <w:rsid w:val="002858AF"/>
    <w:rsid w:val="00286217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2CE1"/>
    <w:rsid w:val="002F4AAC"/>
    <w:rsid w:val="002F65DF"/>
    <w:rsid w:val="002F6818"/>
    <w:rsid w:val="00300193"/>
    <w:rsid w:val="003001FC"/>
    <w:rsid w:val="00300479"/>
    <w:rsid w:val="0030070C"/>
    <w:rsid w:val="00301477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07CDC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576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6D7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4C93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6EAE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F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412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8F9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3EFC"/>
    <w:rsid w:val="00524097"/>
    <w:rsid w:val="00525035"/>
    <w:rsid w:val="00525CEC"/>
    <w:rsid w:val="00527F2F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6AC"/>
    <w:rsid w:val="00547F5D"/>
    <w:rsid w:val="00550126"/>
    <w:rsid w:val="0055059C"/>
    <w:rsid w:val="005511C0"/>
    <w:rsid w:val="005517EA"/>
    <w:rsid w:val="00552483"/>
    <w:rsid w:val="0055270E"/>
    <w:rsid w:val="00552B43"/>
    <w:rsid w:val="005539E9"/>
    <w:rsid w:val="00553D20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A57"/>
    <w:rsid w:val="00566BF3"/>
    <w:rsid w:val="005671C1"/>
    <w:rsid w:val="00567509"/>
    <w:rsid w:val="0056787D"/>
    <w:rsid w:val="0057071B"/>
    <w:rsid w:val="00571754"/>
    <w:rsid w:val="00571A9B"/>
    <w:rsid w:val="00571E35"/>
    <w:rsid w:val="005724BA"/>
    <w:rsid w:val="00572D5E"/>
    <w:rsid w:val="0057322B"/>
    <w:rsid w:val="00574905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E7CA5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935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45F3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5E2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125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4176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3E2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7D0"/>
    <w:rsid w:val="00740F13"/>
    <w:rsid w:val="00740FBB"/>
    <w:rsid w:val="00741F5E"/>
    <w:rsid w:val="0074320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6BFA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CED"/>
    <w:rsid w:val="00784D4E"/>
    <w:rsid w:val="00785E60"/>
    <w:rsid w:val="00786961"/>
    <w:rsid w:val="007869BB"/>
    <w:rsid w:val="007870AA"/>
    <w:rsid w:val="00790BD0"/>
    <w:rsid w:val="00790D51"/>
    <w:rsid w:val="007913B8"/>
    <w:rsid w:val="0079141F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DC9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CD7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005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4EE1"/>
    <w:rsid w:val="0082599C"/>
    <w:rsid w:val="00826A43"/>
    <w:rsid w:val="00827450"/>
    <w:rsid w:val="008277ED"/>
    <w:rsid w:val="008311EA"/>
    <w:rsid w:val="00831C53"/>
    <w:rsid w:val="00831DE0"/>
    <w:rsid w:val="008327DD"/>
    <w:rsid w:val="00832C1D"/>
    <w:rsid w:val="008332F4"/>
    <w:rsid w:val="0083436B"/>
    <w:rsid w:val="00834E52"/>
    <w:rsid w:val="00836176"/>
    <w:rsid w:val="008362BA"/>
    <w:rsid w:val="00836526"/>
    <w:rsid w:val="00837DD9"/>
    <w:rsid w:val="00837F49"/>
    <w:rsid w:val="0084038C"/>
    <w:rsid w:val="008405DF"/>
    <w:rsid w:val="008408F2"/>
    <w:rsid w:val="008415D9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4EAF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840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F06C2"/>
    <w:rsid w:val="008F1087"/>
    <w:rsid w:val="008F1EFC"/>
    <w:rsid w:val="008F26CD"/>
    <w:rsid w:val="008F3398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1EA5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5E0C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09B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3A39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5C15"/>
    <w:rsid w:val="009A66A1"/>
    <w:rsid w:val="009A762F"/>
    <w:rsid w:val="009A763A"/>
    <w:rsid w:val="009B01C0"/>
    <w:rsid w:val="009B08A9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542"/>
    <w:rsid w:val="00A1135A"/>
    <w:rsid w:val="00A11B01"/>
    <w:rsid w:val="00A11EA3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1BDC"/>
    <w:rsid w:val="00A72E26"/>
    <w:rsid w:val="00A74952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6CDA"/>
    <w:rsid w:val="00B27E0F"/>
    <w:rsid w:val="00B30AE2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3CDF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269E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D6707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0F5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6D75"/>
    <w:rsid w:val="00C77110"/>
    <w:rsid w:val="00C80C5F"/>
    <w:rsid w:val="00C80F97"/>
    <w:rsid w:val="00C81D36"/>
    <w:rsid w:val="00C82EF1"/>
    <w:rsid w:val="00C82F65"/>
    <w:rsid w:val="00C83435"/>
    <w:rsid w:val="00C843CE"/>
    <w:rsid w:val="00C8494A"/>
    <w:rsid w:val="00C855C6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0E39"/>
    <w:rsid w:val="00D3137C"/>
    <w:rsid w:val="00D33766"/>
    <w:rsid w:val="00D353AF"/>
    <w:rsid w:val="00D35C57"/>
    <w:rsid w:val="00D36058"/>
    <w:rsid w:val="00D3665A"/>
    <w:rsid w:val="00D37E4B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2D04"/>
    <w:rsid w:val="00DD3CAF"/>
    <w:rsid w:val="00DD4068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46A40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16F31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BC8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6E9"/>
    <w:rsid w:val="00F86976"/>
    <w:rsid w:val="00F86A12"/>
    <w:rsid w:val="00F87B9F"/>
    <w:rsid w:val="00F87EB4"/>
    <w:rsid w:val="00F904FA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EED"/>
    <w:rsid w:val="00FA361F"/>
    <w:rsid w:val="00FA483A"/>
    <w:rsid w:val="00FA55B2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915ED-FB65-4EEE-87D9-BF3E513F2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Milton Garcia Llamoca</cp:lastModifiedBy>
  <cp:revision>51</cp:revision>
  <cp:lastPrinted>2016-06-21T13:50:00Z</cp:lastPrinted>
  <dcterms:created xsi:type="dcterms:W3CDTF">2017-11-13T16:29:00Z</dcterms:created>
  <dcterms:modified xsi:type="dcterms:W3CDTF">2017-12-15T16:39:00Z</dcterms:modified>
</cp:coreProperties>
</file>