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051F7BDF" w:rsidR="00BA71E2" w:rsidRPr="00D923FC" w:rsidRDefault="00C77E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C77EF2">
        <w:rPr>
          <w:rFonts w:ascii="Arial" w:hAnsi="Arial" w:cs="Arial"/>
          <w:b/>
          <w:noProof/>
          <w:sz w:val="24"/>
          <w:lang w:val="es-PE"/>
        </w:rPr>
        <w:t>INFORME DE INSTALACIÓN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bookmarkStart w:id="2" w:name="_GoBack"/>
    <w:bookmarkEnd w:id="2"/>
    <w:p w14:paraId="61BC12FF" w14:textId="77777777" w:rsidR="00780D49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498340671" w:history="1">
        <w:r w:rsidR="00780D49"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780D49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780D49"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DIAGRAMA DE ARQUITECTURA TECNOLÓGICA DE LA PLATAFORMA SOFTWARE HABILITADA</w:t>
        </w:r>
        <w:r w:rsidR="00780D49">
          <w:rPr>
            <w:noProof/>
            <w:webHidden/>
          </w:rPr>
          <w:tab/>
        </w:r>
        <w:r w:rsidR="00780D49">
          <w:rPr>
            <w:noProof/>
            <w:webHidden/>
          </w:rPr>
          <w:fldChar w:fldCharType="begin"/>
        </w:r>
        <w:r w:rsidR="00780D49">
          <w:rPr>
            <w:noProof/>
            <w:webHidden/>
          </w:rPr>
          <w:instrText xml:space="preserve"> PAGEREF _Toc498340671 \h </w:instrText>
        </w:r>
        <w:r w:rsidR="00780D49">
          <w:rPr>
            <w:noProof/>
            <w:webHidden/>
          </w:rPr>
        </w:r>
        <w:r w:rsidR="00780D49">
          <w:rPr>
            <w:noProof/>
            <w:webHidden/>
          </w:rPr>
          <w:fldChar w:fldCharType="separate"/>
        </w:r>
        <w:r w:rsidR="00780D49">
          <w:rPr>
            <w:noProof/>
            <w:webHidden/>
          </w:rPr>
          <w:t>4</w:t>
        </w:r>
        <w:r w:rsidR="00780D49">
          <w:rPr>
            <w:noProof/>
            <w:webHidden/>
          </w:rPr>
          <w:fldChar w:fldCharType="end"/>
        </w:r>
      </w:hyperlink>
    </w:p>
    <w:p w14:paraId="0731A2B9" w14:textId="77777777" w:rsidR="00780D49" w:rsidRDefault="00780D49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72" w:history="1">
        <w:r w:rsidRPr="000C238F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INSTALACIÓN Y/O CONFIGURACIÓN DE LOS PRODUCTOS SOFTWARE’S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3C3DC5" w14:textId="77777777" w:rsidR="00780D49" w:rsidRDefault="00780D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73" w:history="1"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GESTOR DE CONTENEDORES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1A68A3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74" w:history="1">
        <w:r w:rsidRPr="000C238F">
          <w:rPr>
            <w:rStyle w:val="Hipervnculo"/>
            <w:rFonts w:cs="Arial"/>
            <w:b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Instalación de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2D064A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75" w:history="1">
        <w:r w:rsidRPr="000C238F">
          <w:rPr>
            <w:rStyle w:val="Hipervnculo"/>
            <w:rFonts w:cs="Arial"/>
            <w:b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Instalación de docker-compose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570CE3" w14:textId="77777777" w:rsidR="00780D49" w:rsidRDefault="00780D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76" w:history="1"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NGINX 1.13.X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64FAA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77" w:history="1">
        <w:r w:rsidRPr="000C238F">
          <w:rPr>
            <w:rStyle w:val="Hipervnculo"/>
            <w:rFonts w:cs="Arial"/>
            <w:b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Instalación de software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7ACF27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78" w:history="1">
        <w:r w:rsidRPr="000C238F">
          <w:rPr>
            <w:rStyle w:val="Hipervnculo"/>
            <w:rFonts w:cs="Arial"/>
            <w:b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Integración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69CCF4" w14:textId="77777777" w:rsidR="00780D49" w:rsidRDefault="00780D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79" w:history="1"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SONARQUBE 6.X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E898EA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80" w:history="1">
        <w:r w:rsidRPr="000C238F">
          <w:rPr>
            <w:rStyle w:val="Hipervnculo"/>
            <w:rFonts w:cs="Arial"/>
            <w:b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Habilitación de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3F0E8B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81" w:history="1">
        <w:r w:rsidRPr="000C238F">
          <w:rPr>
            <w:rStyle w:val="Hipervnculo"/>
            <w:rFonts w:cs="Arial"/>
            <w:b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Instalación de software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1DB38D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82" w:history="1">
        <w:r w:rsidRPr="000C238F">
          <w:rPr>
            <w:rStyle w:val="Hipervnculo"/>
            <w:rFonts w:cs="Arial"/>
            <w:b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Habilitación en  NGINX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7E05E3" w14:textId="77777777" w:rsidR="00780D49" w:rsidRDefault="00780D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83" w:history="1"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SVN 1.9.X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B48AE4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84" w:history="1">
        <w:r w:rsidRPr="000C238F">
          <w:rPr>
            <w:rStyle w:val="Hipervnculo"/>
            <w:rFonts w:cs="Arial"/>
            <w:b/>
            <w:noProof/>
          </w:rPr>
          <w:t>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Instalación de software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4113DC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85" w:history="1">
        <w:r w:rsidRPr="000C238F">
          <w:rPr>
            <w:rStyle w:val="Hipervnculo"/>
            <w:rFonts w:cs="Arial"/>
            <w:b/>
            <w:noProof/>
          </w:rPr>
          <w:t>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Habilitación en  NGINX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A3C042" w14:textId="77777777" w:rsidR="00780D49" w:rsidRDefault="00780D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86" w:history="1"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NEXUS OSS 3.X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1355A9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87" w:history="1">
        <w:r w:rsidRPr="000C238F">
          <w:rPr>
            <w:rStyle w:val="Hipervnculo"/>
            <w:rFonts w:cs="Arial"/>
            <w:b/>
            <w:noProof/>
          </w:rPr>
          <w:t>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Instalación de software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C9D1EC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88" w:history="1">
        <w:r w:rsidRPr="000C238F">
          <w:rPr>
            <w:rStyle w:val="Hipervnculo"/>
            <w:rFonts w:cs="Arial"/>
            <w:b/>
            <w:noProof/>
          </w:rPr>
          <w:t>2.5.2.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Habilitación en  NGINX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86ED94" w14:textId="77777777" w:rsidR="00780D49" w:rsidRDefault="00780D49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89" w:history="1"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OPERACIONES DE LOS PRODUCTOS SOFTWARE’S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5519A8" w14:textId="77777777" w:rsidR="00780D49" w:rsidRDefault="00780D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90" w:history="1"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OPERACIÓN DE NGINX 1.13.X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C60A43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91" w:history="1">
        <w:r w:rsidRPr="000C238F">
          <w:rPr>
            <w:rStyle w:val="Hipervnculo"/>
            <w:rFonts w:cs="Arial"/>
            <w:b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Iniciar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848A13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92" w:history="1">
        <w:r w:rsidRPr="000C238F">
          <w:rPr>
            <w:rStyle w:val="Hipervnculo"/>
            <w:rFonts w:cs="Arial"/>
            <w:b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Detener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B1DDA8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93" w:history="1">
        <w:r w:rsidRPr="000C238F">
          <w:rPr>
            <w:rStyle w:val="Hipervnculo"/>
            <w:rFonts w:cs="Arial"/>
            <w:b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Visualizar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915F4D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94" w:history="1">
        <w:r w:rsidRPr="000C238F">
          <w:rPr>
            <w:rStyle w:val="Hipervnculo"/>
            <w:rFonts w:cs="Arial"/>
            <w:b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Verificación de 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02150C" w14:textId="77777777" w:rsidR="00780D49" w:rsidRDefault="00780D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95" w:history="1"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OPERACIÓN DE SONARQUBE 6.X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EE1B70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96" w:history="1">
        <w:r w:rsidRPr="000C238F">
          <w:rPr>
            <w:rStyle w:val="Hipervnculo"/>
            <w:rFonts w:cs="Arial"/>
            <w:b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Iniciar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9F8CBB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97" w:history="1">
        <w:r w:rsidRPr="000C238F">
          <w:rPr>
            <w:rStyle w:val="Hipervnculo"/>
            <w:rFonts w:cs="Arial"/>
            <w:b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Detener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E68AC4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98" w:history="1">
        <w:r w:rsidRPr="000C238F">
          <w:rPr>
            <w:rStyle w:val="Hipervnculo"/>
            <w:rFonts w:cs="Arial"/>
            <w:b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Visualizar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66812F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699" w:history="1">
        <w:r w:rsidRPr="000C238F">
          <w:rPr>
            <w:rStyle w:val="Hipervnculo"/>
            <w:rFonts w:cs="Arial"/>
            <w:b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Verificación de 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76A4D7" w14:textId="77777777" w:rsidR="00780D49" w:rsidRDefault="00780D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00" w:history="1"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OPERACIÓN DE SVN 1.9.X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9EB1DC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01" w:history="1">
        <w:r w:rsidRPr="000C238F">
          <w:rPr>
            <w:rStyle w:val="Hipervnculo"/>
            <w:rFonts w:cs="Arial"/>
            <w:b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Iniciar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1A1206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02" w:history="1">
        <w:r w:rsidRPr="000C238F">
          <w:rPr>
            <w:rStyle w:val="Hipervnculo"/>
            <w:rFonts w:cs="Arial"/>
            <w:b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Detener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32467F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03" w:history="1">
        <w:r w:rsidRPr="000C238F">
          <w:rPr>
            <w:rStyle w:val="Hipervnculo"/>
            <w:rFonts w:cs="Arial"/>
            <w:b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Visualizar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C75990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04" w:history="1">
        <w:r w:rsidRPr="000C238F">
          <w:rPr>
            <w:rStyle w:val="Hipervnculo"/>
            <w:rFonts w:cs="Arial"/>
            <w:b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Verificación de 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C3EAF1" w14:textId="77777777" w:rsidR="00780D49" w:rsidRDefault="00780D49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05" w:history="1"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ascii="Arial" w:hAnsi="Arial" w:cs="Arial"/>
            <w:b/>
            <w:noProof/>
            <w:lang w:val="es-PE" w:eastAsia="es-PE"/>
          </w:rPr>
          <w:t>OPERACIÓN DE NEXUS OSS 3.X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18DC51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06" w:history="1">
        <w:r w:rsidRPr="000C238F">
          <w:rPr>
            <w:rStyle w:val="Hipervnculo"/>
            <w:rFonts w:cs="Arial"/>
            <w:b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Iniciar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C8F52E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07" w:history="1">
        <w:r w:rsidRPr="000C238F">
          <w:rPr>
            <w:rStyle w:val="Hipervnculo"/>
            <w:rFonts w:cs="Arial"/>
            <w:b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Detener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72B2CF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08" w:history="1">
        <w:r w:rsidRPr="000C238F">
          <w:rPr>
            <w:rStyle w:val="Hipervnculo"/>
            <w:rFonts w:cs="Arial"/>
            <w:b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Visualizar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42ABE1" w14:textId="77777777" w:rsidR="00780D49" w:rsidRDefault="00780D49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40709" w:history="1">
        <w:r w:rsidRPr="000C238F">
          <w:rPr>
            <w:rStyle w:val="Hipervnculo"/>
            <w:rFonts w:cs="Arial"/>
            <w:b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0C238F">
          <w:rPr>
            <w:rStyle w:val="Hipervnculo"/>
            <w:rFonts w:cs="Arial"/>
            <w:b/>
            <w:noProof/>
          </w:rPr>
          <w:t>Verificación de 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_Toc498340709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3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E0160E5" w:rsidR="002C5627" w:rsidRPr="00242824" w:rsidRDefault="007B332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50762465" w14:textId="3BABECAA" w:rsidR="003637EE" w:rsidRPr="00242824" w:rsidRDefault="000C42BF" w:rsidP="00CD58C1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4" w:name="_Toc498340671"/>
      <w:r w:rsidRPr="00242824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20F1" w:rsidRPr="00242824">
        <w:rPr>
          <w:rFonts w:ascii="Arial" w:hAnsi="Arial" w:cs="Arial"/>
          <w:b/>
          <w:noProof/>
          <w:sz w:val="20"/>
          <w:lang w:val="es-PE" w:eastAsia="es-PE"/>
        </w:rPr>
        <w:t>DIAGRAMA DE ARQUITECTURA TECNOLÓGICA DE LA PLATAFORMA SOFTWARE HABILITADA</w:t>
      </w:r>
      <w:bookmarkEnd w:id="4"/>
      <w:r w:rsidR="000D20F1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3"/>
    </w:p>
    <w:p w14:paraId="4DCAB123" w14:textId="77777777" w:rsidR="000A0417" w:rsidRPr="00242824" w:rsidRDefault="000A0417" w:rsidP="00784CED">
      <w:pPr>
        <w:jc w:val="both"/>
        <w:rPr>
          <w:rFonts w:ascii="Arial" w:hAnsi="Arial" w:cs="Arial"/>
          <w:sz w:val="20"/>
          <w:lang w:val="es-PE"/>
        </w:rPr>
      </w:pPr>
    </w:p>
    <w:p w14:paraId="73FA767C" w14:textId="6B445C8B" w:rsidR="002423D9" w:rsidRPr="00242824" w:rsidRDefault="002423D9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En cumplimiento con los </w:t>
      </w:r>
      <w:r w:rsidR="005B2A73" w:rsidRPr="00242824">
        <w:rPr>
          <w:rFonts w:ascii="Arial" w:hAnsi="Arial" w:cs="Arial"/>
          <w:sz w:val="20"/>
        </w:rPr>
        <w:t xml:space="preserve">requerimientos </w:t>
      </w:r>
      <w:r w:rsidRPr="00242824">
        <w:rPr>
          <w:rFonts w:ascii="Arial" w:hAnsi="Arial" w:cs="Arial"/>
          <w:sz w:val="20"/>
        </w:rPr>
        <w:t xml:space="preserve">establecidos en </w:t>
      </w:r>
      <w:r w:rsidR="00BA73AE" w:rsidRPr="00242824">
        <w:rPr>
          <w:rFonts w:ascii="Arial" w:hAnsi="Arial" w:cs="Arial"/>
          <w:sz w:val="20"/>
        </w:rPr>
        <w:t>los términos de referencia se elaboró los siguientes entregables</w:t>
      </w:r>
      <w:r w:rsidRPr="00242824">
        <w:rPr>
          <w:rFonts w:ascii="Arial" w:hAnsi="Arial" w:cs="Arial"/>
          <w:sz w:val="20"/>
        </w:rPr>
        <w:t>:</w:t>
      </w:r>
    </w:p>
    <w:p w14:paraId="3A20FEE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Plan de Trabajo</w:t>
      </w:r>
    </w:p>
    <w:p w14:paraId="1EE0B553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Funcional</w:t>
      </w:r>
    </w:p>
    <w:p w14:paraId="2D98E1DB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Técnico</w:t>
      </w:r>
    </w:p>
    <w:p w14:paraId="5D1D6AF2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Componentes de software desarrollados</w:t>
      </w:r>
    </w:p>
    <w:p w14:paraId="4C9C9E54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de Pruebas</w:t>
      </w:r>
    </w:p>
    <w:p w14:paraId="2F72E33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Manual de Usuario</w:t>
      </w:r>
    </w:p>
    <w:p w14:paraId="65849C7C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transferencia de conocimientos.</w:t>
      </w:r>
    </w:p>
    <w:p w14:paraId="2B742E85" w14:textId="56DCA600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informe final de actividades.</w:t>
      </w:r>
    </w:p>
    <w:p w14:paraId="04E4D5E5" w14:textId="77777777" w:rsidR="00BA73AE" w:rsidRPr="00242824" w:rsidRDefault="00BA73AE" w:rsidP="00784CED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29E1A13E" w14:textId="6C01F9E6" w:rsidR="00645AC0" w:rsidRPr="00242824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>Se realizaron reuniones de trabajo con personal del área usuaria para precisar los requerimientos planteados en los términos de referencia y comunicar las propuestas de implementación para tales requerimientos.</w:t>
      </w:r>
    </w:p>
    <w:p w14:paraId="4EC7925F" w14:textId="6E0C1986" w:rsidR="009D7C92" w:rsidRPr="00242824" w:rsidRDefault="00645AC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Los </w:t>
      </w:r>
      <w:r w:rsidR="006D25AC" w:rsidRPr="00242824">
        <w:rPr>
          <w:rFonts w:ascii="Arial" w:hAnsi="Arial" w:cs="Arial"/>
          <w:sz w:val="20"/>
        </w:rPr>
        <w:t>Componentes de Carga y Descarga de archivos han</w:t>
      </w:r>
      <w:r w:rsidRPr="00242824">
        <w:rPr>
          <w:rFonts w:ascii="Arial" w:hAnsi="Arial" w:cs="Arial"/>
          <w:sz w:val="20"/>
        </w:rPr>
        <w:t xml:space="preserve"> sido desarrollados con las tecnologías solicitadas en los términos de referencia, en reuniones de trabajo </w:t>
      </w:r>
      <w:r w:rsidR="00250C98" w:rsidRPr="00242824">
        <w:rPr>
          <w:rFonts w:ascii="Arial" w:hAnsi="Arial" w:cs="Arial"/>
          <w:sz w:val="20"/>
        </w:rPr>
        <w:t>se planteó</w:t>
      </w:r>
      <w:r w:rsidRPr="00242824">
        <w:rPr>
          <w:rFonts w:ascii="Arial" w:hAnsi="Arial" w:cs="Arial"/>
          <w:sz w:val="20"/>
        </w:rPr>
        <w:t xml:space="preserve"> el uso del</w:t>
      </w:r>
      <w:r w:rsidR="006D25AC" w:rsidRPr="00242824">
        <w:rPr>
          <w:rFonts w:ascii="Arial" w:hAnsi="Arial" w:cs="Arial"/>
          <w:sz w:val="20"/>
        </w:rPr>
        <w:t xml:space="preserve"> </w:t>
      </w:r>
      <w:proofErr w:type="spellStart"/>
      <w:r w:rsidRPr="00242824">
        <w:rPr>
          <w:rFonts w:ascii="Arial" w:hAnsi="Arial" w:cs="Arial"/>
          <w:sz w:val="20"/>
        </w:rPr>
        <w:t>framework</w:t>
      </w:r>
      <w:r w:rsidR="000B055B" w:rsidRPr="00242824">
        <w:rPr>
          <w:rFonts w:ascii="Arial" w:hAnsi="Arial" w:cs="Arial"/>
          <w:sz w:val="20"/>
        </w:rPr>
        <w:t>s</w:t>
      </w:r>
      <w:proofErr w:type="spellEnd"/>
      <w:r w:rsidR="000B055B" w:rsidRPr="00242824">
        <w:rPr>
          <w:rFonts w:ascii="Arial" w:hAnsi="Arial" w:cs="Arial"/>
          <w:sz w:val="20"/>
        </w:rPr>
        <w:t xml:space="preserve"> y/o librerías</w:t>
      </w:r>
      <w:r w:rsidR="00631B63" w:rsidRPr="00242824">
        <w:rPr>
          <w:rFonts w:ascii="Arial" w:hAnsi="Arial" w:cs="Arial"/>
          <w:sz w:val="20"/>
        </w:rPr>
        <w:t xml:space="preserve"> como:</w:t>
      </w:r>
      <w:r w:rsidR="006D25AC" w:rsidRPr="00242824">
        <w:rPr>
          <w:rFonts w:ascii="Arial" w:hAnsi="Arial" w:cs="Arial"/>
          <w:sz w:val="20"/>
        </w:rPr>
        <w:t xml:space="preserve"> Spring</w:t>
      </w:r>
      <w:r w:rsidR="00BB04D7" w:rsidRPr="00242824">
        <w:rPr>
          <w:rFonts w:ascii="Arial" w:hAnsi="Arial" w:cs="Arial"/>
          <w:sz w:val="20"/>
        </w:rPr>
        <w:t xml:space="preserve"> </w:t>
      </w:r>
      <w:proofErr w:type="spellStart"/>
      <w:r w:rsidR="006D25AC" w:rsidRPr="00242824">
        <w:rPr>
          <w:rFonts w:ascii="Arial" w:hAnsi="Arial" w:cs="Arial"/>
          <w:sz w:val="20"/>
        </w:rPr>
        <w:t>Boot</w:t>
      </w:r>
      <w:proofErr w:type="spellEnd"/>
      <w:r w:rsidR="00631B63" w:rsidRPr="00242824">
        <w:rPr>
          <w:rFonts w:ascii="Arial" w:hAnsi="Arial" w:cs="Arial"/>
          <w:sz w:val="20"/>
        </w:rPr>
        <w:t xml:space="preserve"> 1.5</w:t>
      </w:r>
      <w:r w:rsidR="00BB04D7" w:rsidRPr="00242824">
        <w:rPr>
          <w:rFonts w:ascii="Arial" w:hAnsi="Arial" w:cs="Arial"/>
          <w:sz w:val="20"/>
        </w:rPr>
        <w:t>, Spring Data</w:t>
      </w:r>
      <w:r w:rsidR="00631B63" w:rsidRPr="00242824">
        <w:rPr>
          <w:rFonts w:ascii="Arial" w:hAnsi="Arial" w:cs="Arial"/>
          <w:sz w:val="20"/>
        </w:rPr>
        <w:t xml:space="preserve"> 1.2</w:t>
      </w:r>
      <w:proofErr w:type="gramStart"/>
      <w:r w:rsidR="00BB04D7" w:rsidRPr="00242824">
        <w:rPr>
          <w:rFonts w:ascii="Arial" w:hAnsi="Arial" w:cs="Arial"/>
          <w:sz w:val="20"/>
        </w:rPr>
        <w:t>,</w:t>
      </w:r>
      <w:r w:rsidR="000B055B" w:rsidRPr="00242824">
        <w:rPr>
          <w:rFonts w:ascii="Arial" w:hAnsi="Arial" w:cs="Arial"/>
          <w:sz w:val="20"/>
        </w:rPr>
        <w:t xml:space="preserve"> </w:t>
      </w:r>
      <w:r w:rsidRPr="00242824">
        <w:rPr>
          <w:rFonts w:ascii="Arial" w:hAnsi="Arial" w:cs="Arial"/>
          <w:sz w:val="20"/>
        </w:rPr>
        <w:t xml:space="preserve"> </w:t>
      </w:r>
      <w:proofErr w:type="spellStart"/>
      <w:r w:rsidRPr="00242824">
        <w:rPr>
          <w:rFonts w:ascii="Arial" w:hAnsi="Arial" w:cs="Arial"/>
          <w:sz w:val="20"/>
        </w:rPr>
        <w:t>AngularJS</w:t>
      </w:r>
      <w:proofErr w:type="spellEnd"/>
      <w:proofErr w:type="gramEnd"/>
      <w:r w:rsidR="006D25AC" w:rsidRPr="00242824">
        <w:rPr>
          <w:rFonts w:ascii="Arial" w:hAnsi="Arial" w:cs="Arial"/>
          <w:sz w:val="20"/>
        </w:rPr>
        <w:t xml:space="preserve"> 1.5, </w:t>
      </w:r>
      <w:proofErr w:type="spellStart"/>
      <w:r w:rsidR="006D25AC" w:rsidRPr="00242824">
        <w:rPr>
          <w:rFonts w:ascii="Arial" w:hAnsi="Arial" w:cs="Arial"/>
          <w:sz w:val="20"/>
        </w:rPr>
        <w:t>bootstrap</w:t>
      </w:r>
      <w:proofErr w:type="spellEnd"/>
      <w:r w:rsidR="006D25AC" w:rsidRPr="00242824">
        <w:rPr>
          <w:rFonts w:ascii="Arial" w:hAnsi="Arial" w:cs="Arial"/>
          <w:sz w:val="20"/>
        </w:rPr>
        <w:t xml:space="preserve"> 3.3, </w:t>
      </w:r>
      <w:proofErr w:type="spellStart"/>
      <w:r w:rsidR="006D25AC" w:rsidRPr="00242824">
        <w:rPr>
          <w:rFonts w:ascii="Arial" w:hAnsi="Arial" w:cs="Arial"/>
          <w:sz w:val="20"/>
        </w:rPr>
        <w:t>JQuery</w:t>
      </w:r>
      <w:proofErr w:type="spellEnd"/>
      <w:r w:rsidR="006D25AC" w:rsidRPr="00242824">
        <w:rPr>
          <w:rFonts w:ascii="Arial" w:hAnsi="Arial" w:cs="Arial"/>
          <w:sz w:val="20"/>
        </w:rPr>
        <w:t xml:space="preserve"> 1.11</w:t>
      </w:r>
      <w:r w:rsidR="00BB04D7" w:rsidRPr="00242824">
        <w:rPr>
          <w:rFonts w:ascii="Arial" w:hAnsi="Arial" w:cs="Arial"/>
          <w:sz w:val="20"/>
        </w:rPr>
        <w:t xml:space="preserve">, Socket IO </w:t>
      </w:r>
      <w:r w:rsidR="00631B63" w:rsidRPr="00242824">
        <w:rPr>
          <w:rFonts w:ascii="Arial" w:hAnsi="Arial" w:cs="Arial"/>
          <w:sz w:val="20"/>
        </w:rPr>
        <w:t>2</w:t>
      </w:r>
      <w:r w:rsidR="00E66308" w:rsidRPr="00242824">
        <w:rPr>
          <w:rFonts w:ascii="Arial" w:hAnsi="Arial" w:cs="Arial"/>
          <w:sz w:val="20"/>
        </w:rPr>
        <w:t>.0</w:t>
      </w:r>
      <w:r w:rsidR="0016767C" w:rsidRPr="00242824">
        <w:rPr>
          <w:rFonts w:ascii="Arial" w:hAnsi="Arial" w:cs="Arial"/>
          <w:sz w:val="20"/>
        </w:rPr>
        <w:t>.</w:t>
      </w:r>
      <w:r w:rsidR="009D7C92" w:rsidRPr="00242824">
        <w:rPr>
          <w:rFonts w:ascii="Arial" w:hAnsi="Arial" w:cs="Arial"/>
          <w:sz w:val="20"/>
        </w:rPr>
        <w:t xml:space="preserve"> </w:t>
      </w:r>
    </w:p>
    <w:p w14:paraId="2D11F9D7" w14:textId="5DF46AD3" w:rsidR="006D25AC" w:rsidRPr="00242824" w:rsidRDefault="006D25AC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El </w:t>
      </w:r>
      <w:r w:rsidR="00920D86" w:rsidRPr="00242824">
        <w:rPr>
          <w:rFonts w:ascii="Arial" w:hAnsi="Arial" w:cs="Arial"/>
          <w:sz w:val="20"/>
        </w:rPr>
        <w:t>despliegue</w:t>
      </w:r>
      <w:r w:rsidRPr="00242824">
        <w:rPr>
          <w:rFonts w:ascii="Arial" w:hAnsi="Arial" w:cs="Arial"/>
          <w:sz w:val="20"/>
        </w:rPr>
        <w:t xml:space="preserve"> de los componentes de carga y descarga de archivos han sido desarrollados y </w:t>
      </w:r>
      <w:r w:rsidR="00920D86" w:rsidRPr="00242824">
        <w:rPr>
          <w:rFonts w:ascii="Arial" w:hAnsi="Arial" w:cs="Arial"/>
          <w:sz w:val="20"/>
        </w:rPr>
        <w:t>desplegados</w:t>
      </w:r>
      <w:r w:rsidRPr="00242824">
        <w:rPr>
          <w:rFonts w:ascii="Arial" w:hAnsi="Arial" w:cs="Arial"/>
          <w:sz w:val="20"/>
        </w:rPr>
        <w:t xml:space="preserve"> bajo las tecnologías solicitadas en los términos </w:t>
      </w:r>
      <w:r w:rsidR="00D26534" w:rsidRPr="00242824">
        <w:rPr>
          <w:rFonts w:ascii="Arial" w:hAnsi="Arial" w:cs="Arial"/>
          <w:sz w:val="20"/>
        </w:rPr>
        <w:t xml:space="preserve">de referencias y las reuniones de trabajo se planteó el uso de las herramientas y </w:t>
      </w:r>
      <w:r w:rsidR="00920D86" w:rsidRPr="00242824">
        <w:rPr>
          <w:rFonts w:ascii="Arial" w:hAnsi="Arial" w:cs="Arial"/>
          <w:sz w:val="20"/>
        </w:rPr>
        <w:t>productos:</w:t>
      </w:r>
      <w:r w:rsidR="00D26534" w:rsidRPr="00242824">
        <w:rPr>
          <w:rFonts w:ascii="Arial" w:hAnsi="Arial" w:cs="Arial"/>
          <w:sz w:val="20"/>
        </w:rPr>
        <w:t xml:space="preserve"> </w:t>
      </w:r>
      <w:proofErr w:type="spellStart"/>
      <w:r w:rsidR="00D26534" w:rsidRPr="00242824">
        <w:rPr>
          <w:rFonts w:ascii="Arial" w:hAnsi="Arial" w:cs="Arial"/>
          <w:sz w:val="20"/>
        </w:rPr>
        <w:t>Node</w:t>
      </w:r>
      <w:r w:rsidR="00920D86" w:rsidRPr="00242824">
        <w:rPr>
          <w:rFonts w:ascii="Arial" w:hAnsi="Arial" w:cs="Arial"/>
          <w:sz w:val="20"/>
        </w:rPr>
        <w:t>JS</w:t>
      </w:r>
      <w:proofErr w:type="spellEnd"/>
      <w:r w:rsidR="00D26534" w:rsidRPr="00242824">
        <w:rPr>
          <w:rFonts w:ascii="Arial" w:hAnsi="Arial" w:cs="Arial"/>
          <w:sz w:val="20"/>
        </w:rPr>
        <w:t xml:space="preserve"> 7.7.3, </w:t>
      </w:r>
      <w:proofErr w:type="spellStart"/>
      <w:r w:rsidR="00D26534" w:rsidRPr="00242824">
        <w:rPr>
          <w:rFonts w:ascii="Arial" w:hAnsi="Arial" w:cs="Arial"/>
          <w:sz w:val="20"/>
        </w:rPr>
        <w:t>Redis</w:t>
      </w:r>
      <w:proofErr w:type="spellEnd"/>
      <w:r w:rsidR="00D26534" w:rsidRPr="00242824">
        <w:rPr>
          <w:rFonts w:ascii="Arial" w:hAnsi="Arial" w:cs="Arial"/>
          <w:sz w:val="20"/>
        </w:rPr>
        <w:t xml:space="preserve"> 3.2.2, </w:t>
      </w:r>
      <w:proofErr w:type="spellStart"/>
      <w:r w:rsidR="00D26534" w:rsidRPr="00242824">
        <w:rPr>
          <w:rFonts w:ascii="Arial" w:hAnsi="Arial" w:cs="Arial"/>
          <w:sz w:val="20"/>
        </w:rPr>
        <w:t>HAProxy</w:t>
      </w:r>
      <w:proofErr w:type="spellEnd"/>
      <w:r w:rsidR="00D26534" w:rsidRPr="00242824">
        <w:rPr>
          <w:rFonts w:ascii="Arial" w:hAnsi="Arial" w:cs="Arial"/>
          <w:sz w:val="20"/>
        </w:rPr>
        <w:t xml:space="preserve"> 1.5.18</w:t>
      </w:r>
      <w:r w:rsidR="00920D86" w:rsidRPr="00242824">
        <w:rPr>
          <w:rFonts w:ascii="Arial" w:hAnsi="Arial" w:cs="Arial"/>
          <w:sz w:val="20"/>
        </w:rPr>
        <w:t xml:space="preserve"> y contenedores </w:t>
      </w:r>
      <w:proofErr w:type="spellStart"/>
      <w:r w:rsidR="00920D86" w:rsidRPr="00242824">
        <w:rPr>
          <w:rFonts w:ascii="Arial" w:hAnsi="Arial" w:cs="Arial"/>
          <w:sz w:val="20"/>
        </w:rPr>
        <w:t>Docker</w:t>
      </w:r>
      <w:proofErr w:type="spellEnd"/>
      <w:r w:rsidR="00920D86" w:rsidRPr="00242824">
        <w:rPr>
          <w:rFonts w:ascii="Arial" w:hAnsi="Arial" w:cs="Arial"/>
          <w:sz w:val="20"/>
        </w:rPr>
        <w:t>.</w:t>
      </w:r>
    </w:p>
    <w:p w14:paraId="0A36295B" w14:textId="6111D2D7" w:rsidR="00C06D70" w:rsidRPr="00242824" w:rsidRDefault="009D7C92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La aplicación web para la prueba de concepto </w:t>
      </w:r>
      <w:r w:rsidR="005833D9" w:rsidRPr="00242824">
        <w:rPr>
          <w:rFonts w:ascii="Arial" w:hAnsi="Arial" w:cs="Arial"/>
          <w:sz w:val="20"/>
        </w:rPr>
        <w:t xml:space="preserve">desarrollada en la presente consultoría </w:t>
      </w:r>
      <w:r w:rsidRPr="00242824">
        <w:rPr>
          <w:rFonts w:ascii="Arial" w:hAnsi="Arial" w:cs="Arial"/>
          <w:sz w:val="20"/>
        </w:rPr>
        <w:t xml:space="preserve">ha </w:t>
      </w:r>
      <w:r w:rsidR="005833D9" w:rsidRPr="00242824">
        <w:rPr>
          <w:rFonts w:ascii="Arial" w:hAnsi="Arial" w:cs="Arial"/>
          <w:sz w:val="20"/>
        </w:rPr>
        <w:t>usado</w:t>
      </w:r>
      <w:r w:rsidRPr="00242824">
        <w:rPr>
          <w:rFonts w:ascii="Arial" w:hAnsi="Arial" w:cs="Arial"/>
          <w:sz w:val="20"/>
        </w:rPr>
        <w:t xml:space="preserve"> un diseño de </w:t>
      </w:r>
      <w:r w:rsidR="006B4F34" w:rsidRPr="00242824">
        <w:rPr>
          <w:rFonts w:ascii="Arial" w:hAnsi="Arial" w:cs="Arial"/>
          <w:sz w:val="20"/>
        </w:rPr>
        <w:t>presentación</w:t>
      </w:r>
      <w:r w:rsidRPr="00242824">
        <w:rPr>
          <w:rFonts w:ascii="Arial" w:hAnsi="Arial" w:cs="Arial"/>
          <w:sz w:val="20"/>
        </w:rPr>
        <w:t xml:space="preserve"> derivados de </w:t>
      </w:r>
      <w:r w:rsidR="003F1556" w:rsidRPr="00242824">
        <w:rPr>
          <w:rFonts w:ascii="Arial" w:hAnsi="Arial" w:cs="Arial"/>
          <w:sz w:val="20"/>
        </w:rPr>
        <w:t>l</w:t>
      </w:r>
      <w:r w:rsidRPr="00242824">
        <w:rPr>
          <w:rFonts w:ascii="Arial" w:hAnsi="Arial" w:cs="Arial"/>
          <w:sz w:val="20"/>
        </w:rPr>
        <w:t>os diseños utilizados actualmente en las aplicaciones web del OSCE</w:t>
      </w:r>
      <w:r w:rsidR="00EA0A09" w:rsidRPr="00242824">
        <w:rPr>
          <w:rFonts w:ascii="Arial" w:hAnsi="Arial" w:cs="Arial"/>
          <w:sz w:val="20"/>
        </w:rPr>
        <w:t xml:space="preserve"> al cual se le ha incluido características de </w:t>
      </w:r>
      <w:r w:rsidR="008D649E" w:rsidRPr="00242824">
        <w:rPr>
          <w:rFonts w:ascii="Arial" w:hAnsi="Arial" w:cs="Arial"/>
          <w:sz w:val="20"/>
        </w:rPr>
        <w:t xml:space="preserve">uso </w:t>
      </w:r>
      <w:r w:rsidR="00EA0A09" w:rsidRPr="00242824">
        <w:rPr>
          <w:rFonts w:ascii="Arial" w:hAnsi="Arial" w:cs="Arial"/>
          <w:sz w:val="20"/>
        </w:rPr>
        <w:t>diseño web adaptativo</w:t>
      </w:r>
      <w:r w:rsidR="005833D9" w:rsidRPr="00242824">
        <w:rPr>
          <w:rFonts w:ascii="Arial" w:hAnsi="Arial" w:cs="Arial"/>
          <w:sz w:val="20"/>
        </w:rPr>
        <w:t xml:space="preserve">, precisando que el propósito </w:t>
      </w:r>
      <w:r w:rsidR="006B4F34" w:rsidRPr="00242824">
        <w:rPr>
          <w:rFonts w:ascii="Arial" w:hAnsi="Arial" w:cs="Arial"/>
          <w:sz w:val="20"/>
        </w:rPr>
        <w:t xml:space="preserve">principal </w:t>
      </w:r>
      <w:r w:rsidR="005833D9" w:rsidRPr="00242824">
        <w:rPr>
          <w:rFonts w:ascii="Arial" w:hAnsi="Arial" w:cs="Arial"/>
          <w:sz w:val="20"/>
        </w:rPr>
        <w:t xml:space="preserve">de la consultoría </w:t>
      </w:r>
      <w:r w:rsidR="006B4F34" w:rsidRPr="00242824">
        <w:rPr>
          <w:rFonts w:ascii="Arial" w:hAnsi="Arial" w:cs="Arial"/>
          <w:sz w:val="20"/>
        </w:rPr>
        <w:t>es e</w:t>
      </w:r>
      <w:r w:rsidR="005833D9" w:rsidRPr="00242824">
        <w:rPr>
          <w:rFonts w:ascii="Arial" w:hAnsi="Arial" w:cs="Arial"/>
          <w:sz w:val="20"/>
        </w:rPr>
        <w:t xml:space="preserve">l desarrollo de </w:t>
      </w:r>
      <w:r w:rsidR="00E90C31" w:rsidRPr="00242824">
        <w:rPr>
          <w:rFonts w:ascii="Arial" w:hAnsi="Arial" w:cs="Arial"/>
          <w:sz w:val="20"/>
        </w:rPr>
        <w:t xml:space="preserve">componentes de </w:t>
      </w:r>
      <w:r w:rsidR="008E36FA" w:rsidRPr="00242824">
        <w:rPr>
          <w:rFonts w:ascii="Arial" w:hAnsi="Arial" w:cs="Arial"/>
          <w:sz w:val="20"/>
        </w:rPr>
        <w:t>carga y descarga de archivos</w:t>
      </w:r>
      <w:r w:rsidR="003F1556" w:rsidRPr="00242824">
        <w:rPr>
          <w:rFonts w:ascii="Arial" w:hAnsi="Arial" w:cs="Arial"/>
          <w:sz w:val="20"/>
        </w:rPr>
        <w:t>.</w:t>
      </w:r>
    </w:p>
    <w:p w14:paraId="6D642371" w14:textId="0830027B" w:rsidR="00C06D70" w:rsidRPr="00242824" w:rsidRDefault="00C06D7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Se </w:t>
      </w:r>
      <w:r w:rsidR="003001FC" w:rsidRPr="00242824">
        <w:rPr>
          <w:rFonts w:ascii="Arial" w:hAnsi="Arial" w:cs="Arial"/>
          <w:sz w:val="20"/>
        </w:rPr>
        <w:t>desarrolló</w:t>
      </w:r>
      <w:r w:rsidRPr="00242824">
        <w:rPr>
          <w:rFonts w:ascii="Arial" w:hAnsi="Arial" w:cs="Arial"/>
          <w:sz w:val="20"/>
        </w:rPr>
        <w:t xml:space="preserve"> parte de las funcionalidades en la prueba de </w:t>
      </w:r>
      <w:r w:rsidR="00E90C31" w:rsidRPr="00242824">
        <w:rPr>
          <w:rFonts w:ascii="Arial" w:hAnsi="Arial" w:cs="Arial"/>
          <w:sz w:val="20"/>
        </w:rPr>
        <w:t>Unitarias</w:t>
      </w:r>
      <w:r w:rsidRPr="00242824">
        <w:rPr>
          <w:rFonts w:ascii="Arial" w:hAnsi="Arial" w:cs="Arial"/>
          <w:sz w:val="20"/>
        </w:rPr>
        <w:t xml:space="preserve"> para </w:t>
      </w:r>
      <w:r w:rsidR="00E90C31" w:rsidRPr="00242824">
        <w:rPr>
          <w:rFonts w:ascii="Arial" w:hAnsi="Arial" w:cs="Arial"/>
          <w:sz w:val="20"/>
        </w:rPr>
        <w:t xml:space="preserve">se realizaron con </w:t>
      </w:r>
      <w:proofErr w:type="spellStart"/>
      <w:r w:rsidR="00E90C31" w:rsidRPr="00242824">
        <w:rPr>
          <w:rFonts w:ascii="Arial" w:hAnsi="Arial" w:cs="Arial"/>
          <w:sz w:val="20"/>
        </w:rPr>
        <w:t>J</w:t>
      </w:r>
      <w:r w:rsidR="00293AAB" w:rsidRPr="00242824">
        <w:rPr>
          <w:rFonts w:ascii="Arial" w:hAnsi="Arial" w:cs="Arial"/>
          <w:sz w:val="20"/>
        </w:rPr>
        <w:t>U</w:t>
      </w:r>
      <w:r w:rsidR="00E90C31" w:rsidRPr="00242824">
        <w:rPr>
          <w:rFonts w:ascii="Arial" w:hAnsi="Arial" w:cs="Arial"/>
          <w:sz w:val="20"/>
        </w:rPr>
        <w:t>nit</w:t>
      </w:r>
      <w:proofErr w:type="spellEnd"/>
      <w:r w:rsidR="00E90C31" w:rsidRPr="00242824">
        <w:rPr>
          <w:rFonts w:ascii="Arial" w:hAnsi="Arial" w:cs="Arial"/>
          <w:sz w:val="20"/>
        </w:rPr>
        <w:t xml:space="preserve"> y </w:t>
      </w:r>
      <w:proofErr w:type="spellStart"/>
      <w:r w:rsidR="008E36FA" w:rsidRPr="00242824">
        <w:rPr>
          <w:rFonts w:ascii="Arial" w:hAnsi="Arial" w:cs="Arial"/>
          <w:sz w:val="20"/>
        </w:rPr>
        <w:t>Selenium</w:t>
      </w:r>
      <w:proofErr w:type="spellEnd"/>
      <w:r w:rsidR="00E90C31" w:rsidRPr="00242824">
        <w:rPr>
          <w:rFonts w:ascii="Arial" w:hAnsi="Arial" w:cs="Arial"/>
          <w:sz w:val="20"/>
        </w:rPr>
        <w:t xml:space="preserve"> para </w:t>
      </w:r>
      <w:r w:rsidR="008E36FA" w:rsidRPr="00242824">
        <w:rPr>
          <w:rFonts w:ascii="Arial" w:hAnsi="Arial" w:cs="Arial"/>
          <w:sz w:val="20"/>
        </w:rPr>
        <w:t xml:space="preserve">validar </w:t>
      </w:r>
      <w:r w:rsidR="00E90C31" w:rsidRPr="00242824">
        <w:rPr>
          <w:rFonts w:ascii="Arial" w:hAnsi="Arial" w:cs="Arial"/>
          <w:sz w:val="20"/>
        </w:rPr>
        <w:t xml:space="preserve">los componentes </w:t>
      </w:r>
      <w:r w:rsidR="008E36FA" w:rsidRPr="00242824">
        <w:rPr>
          <w:rFonts w:ascii="Arial" w:hAnsi="Arial" w:cs="Arial"/>
          <w:sz w:val="20"/>
        </w:rPr>
        <w:t>de carga y descarga</w:t>
      </w:r>
      <w:r w:rsidR="00E90C31" w:rsidRPr="00242824">
        <w:rPr>
          <w:rFonts w:ascii="Arial" w:hAnsi="Arial" w:cs="Arial"/>
          <w:sz w:val="20"/>
        </w:rPr>
        <w:t xml:space="preserve"> </w:t>
      </w:r>
      <w:r w:rsidR="008E36FA" w:rsidRPr="00242824">
        <w:rPr>
          <w:rFonts w:ascii="Arial" w:hAnsi="Arial" w:cs="Arial"/>
          <w:sz w:val="20"/>
        </w:rPr>
        <w:t>de archivos</w:t>
      </w:r>
      <w:r w:rsidR="00E90C31" w:rsidRPr="00242824">
        <w:rPr>
          <w:rFonts w:ascii="Arial" w:hAnsi="Arial" w:cs="Arial"/>
          <w:sz w:val="20"/>
        </w:rPr>
        <w:t>.</w:t>
      </w:r>
    </w:p>
    <w:p w14:paraId="0185E7CD" w14:textId="77777777" w:rsidR="00754ADF" w:rsidRPr="00242824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242824" w:rsidRDefault="00DF4BC1" w:rsidP="00B527A0">
      <w:pPr>
        <w:jc w:val="both"/>
        <w:rPr>
          <w:rFonts w:ascii="Arial" w:hAnsi="Arial" w:cs="Arial"/>
          <w:sz w:val="20"/>
        </w:rPr>
      </w:pPr>
      <w:bookmarkStart w:id="5" w:name="_Toc285461616"/>
    </w:p>
    <w:p w14:paraId="03F3C5EE" w14:textId="0547AEC1" w:rsidR="00D20E36" w:rsidRPr="00242824" w:rsidRDefault="000D20F1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6" w:name="_Toc498340672"/>
      <w:r w:rsidRPr="00242824">
        <w:rPr>
          <w:rFonts w:ascii="Arial" w:hAnsi="Arial" w:cs="Arial"/>
          <w:b/>
          <w:sz w:val="20"/>
          <w:lang w:val="es-PE" w:eastAsia="es-PE"/>
        </w:rPr>
        <w:t xml:space="preserve">INSTRUCCIONES DE INSTALACIÓN Y/O CONFIGURACIÓN </w:t>
      </w:r>
      <w:bookmarkEnd w:id="5"/>
      <w:r w:rsidRPr="00242824">
        <w:rPr>
          <w:rFonts w:ascii="Arial" w:hAnsi="Arial" w:cs="Arial"/>
          <w:b/>
          <w:sz w:val="20"/>
          <w:lang w:val="es-PE" w:eastAsia="es-PE"/>
        </w:rPr>
        <w:t>DE LOS PRODUCTOS SOFTWARE’S HABILITADOS</w:t>
      </w:r>
      <w:bookmarkEnd w:id="6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59237199" w14:textId="1C0C9AB4" w:rsidR="00FA243F" w:rsidRPr="00242824" w:rsidRDefault="000C4AEC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7" w:name="_Toc498340673"/>
      <w:r w:rsidRPr="00242824">
        <w:rPr>
          <w:rFonts w:ascii="Arial" w:hAnsi="Arial" w:cs="Arial"/>
          <w:b/>
          <w:sz w:val="20"/>
          <w:lang w:val="es-PE" w:eastAsia="es-PE"/>
        </w:rPr>
        <w:t>GESTOR</w:t>
      </w:r>
      <w:r w:rsidR="00FA243F" w:rsidRPr="00242824">
        <w:rPr>
          <w:rFonts w:ascii="Arial" w:hAnsi="Arial" w:cs="Arial"/>
          <w:b/>
          <w:sz w:val="20"/>
          <w:lang w:val="es-PE" w:eastAsia="es-PE"/>
        </w:rPr>
        <w:t xml:space="preserve"> DE CONTENEDORES</w:t>
      </w:r>
      <w:bookmarkEnd w:id="7"/>
    </w:p>
    <w:p w14:paraId="78796AB2" w14:textId="26841231" w:rsidR="00FA243F" w:rsidRPr="00242824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8" w:name="_Toc498340674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="006A48B0" w:rsidRPr="00242824">
        <w:rPr>
          <w:rFonts w:ascii="Arial" w:hAnsi="Arial" w:cs="Arial"/>
          <w:b/>
          <w:sz w:val="20"/>
        </w:rPr>
        <w:t>d</w:t>
      </w:r>
      <w:r w:rsidRPr="00242824">
        <w:rPr>
          <w:rFonts w:ascii="Arial" w:hAnsi="Arial" w:cs="Arial"/>
          <w:b/>
          <w:sz w:val="20"/>
        </w:rPr>
        <w:t>ocker</w:t>
      </w:r>
      <w:bookmarkEnd w:id="8"/>
      <w:proofErr w:type="spellEnd"/>
    </w:p>
    <w:p w14:paraId="64FF3708" w14:textId="77777777" w:rsidR="00FA243F" w:rsidRPr="00242824" w:rsidRDefault="00FA243F" w:rsidP="00FA243F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DEF1E3A" w14:textId="77777777" w:rsidR="00FA243F" w:rsidRPr="00242824" w:rsidRDefault="00FA243F" w:rsidP="00FA243F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D419C4A" w14:textId="4AB5AFA0" w:rsidR="00FA243F" w:rsidRPr="00242824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9" w:name="_Toc498340675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Pr="00242824">
        <w:rPr>
          <w:rFonts w:ascii="Arial" w:hAnsi="Arial" w:cs="Arial"/>
          <w:b/>
          <w:sz w:val="20"/>
        </w:rPr>
        <w:t>docker-compose</w:t>
      </w:r>
      <w:bookmarkEnd w:id="9"/>
      <w:proofErr w:type="spellEnd"/>
    </w:p>
    <w:p w14:paraId="1C3EBC0A" w14:textId="77777777" w:rsidR="00FA243F" w:rsidRPr="00242824" w:rsidRDefault="00FA243F" w:rsidP="00FA243F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DC09729" w14:textId="77777777" w:rsidR="00FA243F" w:rsidRPr="00242824" w:rsidRDefault="00FA243F" w:rsidP="00FA243F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3907BA0E" w14:textId="77777777" w:rsidR="00FA243F" w:rsidRPr="00242824" w:rsidRDefault="00FA243F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8550EE8" w14:textId="4F661D4D" w:rsidR="00784CED" w:rsidRPr="00242824" w:rsidRDefault="009F080E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0" w:name="_Toc498340676"/>
      <w:r w:rsidRPr="00242824">
        <w:rPr>
          <w:rFonts w:ascii="Arial" w:hAnsi="Arial" w:cs="Arial"/>
          <w:b/>
          <w:sz w:val="20"/>
          <w:lang w:val="es-PE" w:eastAsia="es-PE"/>
        </w:rPr>
        <w:t>NGINX 1.13.X</w:t>
      </w:r>
      <w:bookmarkEnd w:id="10"/>
    </w:p>
    <w:p w14:paraId="140008C0" w14:textId="69087320" w:rsidR="005E29AF" w:rsidRPr="00242824" w:rsidRDefault="005E29AF" w:rsidP="005E29A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1" w:name="_Toc498340677"/>
      <w:r w:rsidRPr="00242824">
        <w:rPr>
          <w:rFonts w:ascii="Arial" w:hAnsi="Arial" w:cs="Arial"/>
          <w:b/>
          <w:sz w:val="20"/>
        </w:rPr>
        <w:t>Instalación de software base</w:t>
      </w:r>
      <w:bookmarkEnd w:id="11"/>
    </w:p>
    <w:p w14:paraId="6DC50606" w14:textId="77777777" w:rsidR="00170DD1" w:rsidRPr="00242824" w:rsidRDefault="00170DD1" w:rsidP="00170DD1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lastRenderedPageBreak/>
        <w:t>Abc</w:t>
      </w:r>
      <w:proofErr w:type="spellEnd"/>
    </w:p>
    <w:p w14:paraId="3A850A0B" w14:textId="77777777" w:rsidR="00170DD1" w:rsidRPr="00242824" w:rsidRDefault="00170DD1" w:rsidP="00170DD1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CDF1733" w14:textId="6BBDE090" w:rsidR="00170DD1" w:rsidRPr="00242824" w:rsidRDefault="001353A3" w:rsidP="00170DD1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2" w:name="_Toc498340678"/>
      <w:r w:rsidRPr="00242824">
        <w:rPr>
          <w:rFonts w:ascii="Arial" w:hAnsi="Arial" w:cs="Arial"/>
          <w:b/>
          <w:sz w:val="20"/>
        </w:rPr>
        <w:t>Integración base</w:t>
      </w:r>
      <w:bookmarkEnd w:id="12"/>
    </w:p>
    <w:p w14:paraId="3589B2C7" w14:textId="77777777" w:rsidR="00170DD1" w:rsidRPr="00242824" w:rsidRDefault="00170DD1" w:rsidP="00170DD1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5265A6B7" w14:textId="77777777" w:rsidR="008358AE" w:rsidRPr="00242824" w:rsidRDefault="008358A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388DB59" w14:textId="1CA21D68" w:rsidR="00C70367" w:rsidRPr="00242824" w:rsidRDefault="00C70367" w:rsidP="00C70367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3" w:name="_Toc498340679"/>
      <w:r w:rsidRPr="00242824">
        <w:rPr>
          <w:rFonts w:ascii="Arial" w:hAnsi="Arial" w:cs="Arial"/>
          <w:b/>
          <w:sz w:val="20"/>
          <w:lang w:val="es-PE" w:eastAsia="es-PE"/>
        </w:rPr>
        <w:t>SONARQUBE 6.X</w:t>
      </w:r>
      <w:bookmarkEnd w:id="13"/>
    </w:p>
    <w:p w14:paraId="1453DF9E" w14:textId="247413E7" w:rsidR="00C70367" w:rsidRPr="00242824" w:rsidRDefault="008E770F" w:rsidP="00C70367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4" w:name="_Toc498340680"/>
      <w:r w:rsidRPr="00242824">
        <w:rPr>
          <w:rFonts w:ascii="Arial" w:hAnsi="Arial" w:cs="Arial"/>
          <w:b/>
          <w:sz w:val="20"/>
        </w:rPr>
        <w:t>Habilitación</w:t>
      </w:r>
      <w:r w:rsidR="00FA243F" w:rsidRPr="00242824">
        <w:rPr>
          <w:rFonts w:ascii="Arial" w:hAnsi="Arial" w:cs="Arial"/>
          <w:b/>
          <w:sz w:val="20"/>
        </w:rPr>
        <w:t xml:space="preserve"> de base de datos</w:t>
      </w:r>
      <w:bookmarkEnd w:id="14"/>
    </w:p>
    <w:p w14:paraId="70B674A8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2A63D14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5E81FF68" w14:textId="39CFEDB9" w:rsidR="00C70367" w:rsidRPr="00242824" w:rsidRDefault="00FA243F" w:rsidP="00C70367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5" w:name="_Toc498340681"/>
      <w:r w:rsidRPr="00242824">
        <w:rPr>
          <w:rFonts w:ascii="Arial" w:hAnsi="Arial" w:cs="Arial"/>
          <w:b/>
          <w:sz w:val="20"/>
        </w:rPr>
        <w:t>Instalación de software base</w:t>
      </w:r>
      <w:bookmarkEnd w:id="15"/>
    </w:p>
    <w:p w14:paraId="3C301C23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CB43F03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49E216D4" w14:textId="1067C755" w:rsidR="00C70367" w:rsidRPr="00242824" w:rsidRDefault="006759E7" w:rsidP="00C70367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6" w:name="_Toc498340682"/>
      <w:r w:rsidRPr="00242824">
        <w:rPr>
          <w:rFonts w:ascii="Arial" w:hAnsi="Arial" w:cs="Arial"/>
          <w:b/>
          <w:sz w:val="20"/>
        </w:rPr>
        <w:t>Habilitación en  NGINX</w:t>
      </w:r>
      <w:bookmarkEnd w:id="16"/>
    </w:p>
    <w:p w14:paraId="01929A76" w14:textId="77777777" w:rsidR="00C70367" w:rsidRPr="00242824" w:rsidRDefault="00C70367" w:rsidP="00C70367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06D1ED26" w14:textId="77777777" w:rsidR="00C70367" w:rsidRPr="00242824" w:rsidRDefault="00C70367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8595556" w14:textId="7FF5D392" w:rsidR="009F080E" w:rsidRPr="00242824" w:rsidRDefault="009F080E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7" w:name="_Toc498340683"/>
      <w:r w:rsidRPr="00242824">
        <w:rPr>
          <w:rFonts w:ascii="Arial" w:hAnsi="Arial" w:cs="Arial"/>
          <w:b/>
          <w:sz w:val="20"/>
          <w:lang w:val="es-PE" w:eastAsia="es-PE"/>
        </w:rPr>
        <w:t>SVN 1.9.X</w:t>
      </w:r>
      <w:bookmarkEnd w:id="17"/>
    </w:p>
    <w:p w14:paraId="7C0462F5" w14:textId="77777777" w:rsidR="00D322AF" w:rsidRPr="00242824" w:rsidRDefault="00D322AF" w:rsidP="00D322A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8" w:name="_Toc498340684"/>
      <w:r w:rsidRPr="00242824">
        <w:rPr>
          <w:rFonts w:ascii="Arial" w:hAnsi="Arial" w:cs="Arial"/>
          <w:b/>
          <w:sz w:val="20"/>
        </w:rPr>
        <w:t>Instalación de software base</w:t>
      </w:r>
      <w:bookmarkEnd w:id="18"/>
    </w:p>
    <w:p w14:paraId="4F55455E" w14:textId="77777777" w:rsidR="00D322AF" w:rsidRPr="00242824" w:rsidRDefault="00D322AF" w:rsidP="00D322AF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5530470" w14:textId="77777777" w:rsidR="00D322AF" w:rsidRPr="00242824" w:rsidRDefault="00D322AF" w:rsidP="00D322AF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2CDDF5A2" w14:textId="77777777" w:rsidR="00D322AF" w:rsidRPr="00242824" w:rsidRDefault="00D322AF" w:rsidP="00D322A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9" w:name="_Toc498340685"/>
      <w:r w:rsidRPr="00242824">
        <w:rPr>
          <w:rFonts w:ascii="Arial" w:hAnsi="Arial" w:cs="Arial"/>
          <w:b/>
          <w:sz w:val="20"/>
        </w:rPr>
        <w:t>Habilitación en  NGINX</w:t>
      </w:r>
      <w:bookmarkEnd w:id="19"/>
    </w:p>
    <w:p w14:paraId="50EFCF64" w14:textId="5A25237D" w:rsidR="00D322AF" w:rsidRPr="00242824" w:rsidRDefault="00D322AF" w:rsidP="008E770F">
      <w:pPr>
        <w:pStyle w:val="Prrafodelista"/>
        <w:ind w:left="1588"/>
        <w:jc w:val="both"/>
        <w:rPr>
          <w:rFonts w:ascii="Arial" w:hAnsi="Arial" w:cs="Arial"/>
          <w:b/>
          <w:sz w:val="20"/>
          <w:lang w:val="es-PE" w:eastAsia="es-PE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9309370" w14:textId="77777777" w:rsidR="00D322AF" w:rsidRPr="00242824" w:rsidRDefault="00D322AF" w:rsidP="000D5474">
      <w:pPr>
        <w:pStyle w:val="Prrafodelista"/>
        <w:spacing w:before="0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F5E2A7E" w14:textId="14C279A2" w:rsidR="009F080E" w:rsidRPr="00242824" w:rsidRDefault="009F080E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0" w:name="_Toc498340686"/>
      <w:r w:rsidRPr="00242824">
        <w:rPr>
          <w:rFonts w:ascii="Arial" w:hAnsi="Arial" w:cs="Arial"/>
          <w:b/>
          <w:sz w:val="20"/>
          <w:lang w:val="es-PE" w:eastAsia="es-PE"/>
        </w:rPr>
        <w:t>NEXUS OSS 3.X</w:t>
      </w:r>
      <w:bookmarkEnd w:id="20"/>
    </w:p>
    <w:p w14:paraId="432A6BAF" w14:textId="77777777" w:rsidR="00613B01" w:rsidRPr="00242824" w:rsidRDefault="00613B01" w:rsidP="00613B01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1" w:name="_Toc498340687"/>
      <w:r w:rsidRPr="00242824">
        <w:rPr>
          <w:rFonts w:ascii="Arial" w:hAnsi="Arial" w:cs="Arial"/>
          <w:b/>
          <w:sz w:val="20"/>
        </w:rPr>
        <w:t>Instalación de software base</w:t>
      </w:r>
      <w:bookmarkEnd w:id="21"/>
    </w:p>
    <w:p w14:paraId="4D71F1D1" w14:textId="77777777" w:rsidR="00613B01" w:rsidRPr="00242824" w:rsidRDefault="00613B01" w:rsidP="00613B01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756AAAE" w14:textId="77777777" w:rsidR="00613B01" w:rsidRPr="00242824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42DEA130" w14:textId="77777777" w:rsidR="00613B01" w:rsidRPr="00242824" w:rsidRDefault="00613B01" w:rsidP="00613B01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2" w:name="_Toc498340688"/>
      <w:r w:rsidRPr="00242824">
        <w:rPr>
          <w:rFonts w:ascii="Arial" w:hAnsi="Arial" w:cs="Arial"/>
          <w:b/>
          <w:sz w:val="20"/>
        </w:rPr>
        <w:t>Habilitación en  NGINX</w:t>
      </w:r>
      <w:bookmarkEnd w:id="22"/>
    </w:p>
    <w:p w14:paraId="71DA8F51" w14:textId="77777777" w:rsidR="00613B01" w:rsidRPr="00242824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  <w:lang w:val="es-PE" w:eastAsia="es-PE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FFF2BDC" w14:textId="77777777" w:rsidR="00DF4BC1" w:rsidRPr="00242824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1667148D" w:rsidR="0096534D" w:rsidRPr="00242824" w:rsidRDefault="0043767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23" w:name="_Toc498340689"/>
      <w:bookmarkEnd w:id="1"/>
      <w:r w:rsidRPr="00242824">
        <w:rPr>
          <w:rFonts w:ascii="Arial" w:hAnsi="Arial" w:cs="Arial"/>
          <w:b/>
          <w:sz w:val="20"/>
          <w:lang w:val="es-PE" w:eastAsia="es-PE"/>
        </w:rPr>
        <w:t>INSTRUCCIONES DE OPERACIONES DE LOS PRODUCTOS SOFTWARE’S HABILITADOS</w:t>
      </w:r>
      <w:bookmarkEnd w:id="23"/>
    </w:p>
    <w:p w14:paraId="67A6F3BF" w14:textId="76DE7DA7" w:rsidR="008D3CC2" w:rsidRPr="00242824" w:rsidRDefault="008D3CC2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4" w:name="_Toc498340690"/>
      <w:r w:rsidRPr="00242824">
        <w:rPr>
          <w:rFonts w:ascii="Arial" w:hAnsi="Arial" w:cs="Arial"/>
          <w:b/>
          <w:sz w:val="20"/>
          <w:lang w:val="es-PE" w:eastAsia="es-PE"/>
        </w:rPr>
        <w:t>OPERACIÓN DE NGINX 1.13.X</w:t>
      </w:r>
      <w:bookmarkEnd w:id="24"/>
    </w:p>
    <w:p w14:paraId="3871352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5" w:name="_Toc498340691"/>
      <w:r w:rsidRPr="00242824">
        <w:rPr>
          <w:rFonts w:ascii="Arial" w:hAnsi="Arial" w:cs="Arial"/>
          <w:b/>
          <w:sz w:val="20"/>
        </w:rPr>
        <w:t>Iniciar servicios</w:t>
      </w:r>
      <w:bookmarkEnd w:id="25"/>
    </w:p>
    <w:p w14:paraId="6A10BA36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EC4876E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48C4A5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6" w:name="_Toc498340692"/>
      <w:r w:rsidRPr="00242824">
        <w:rPr>
          <w:rFonts w:ascii="Arial" w:hAnsi="Arial" w:cs="Arial"/>
          <w:b/>
          <w:sz w:val="20"/>
        </w:rPr>
        <w:t>Detener servicios</w:t>
      </w:r>
      <w:bookmarkEnd w:id="26"/>
    </w:p>
    <w:p w14:paraId="450C10F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7AF2CFC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01A0A84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7" w:name="_Toc498340693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27"/>
      <w:proofErr w:type="spellEnd"/>
    </w:p>
    <w:p w14:paraId="1212424C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186170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702D607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8" w:name="_Toc498340694"/>
      <w:r w:rsidRPr="00242824">
        <w:rPr>
          <w:rFonts w:ascii="Arial" w:hAnsi="Arial" w:cs="Arial"/>
          <w:b/>
          <w:sz w:val="20"/>
        </w:rPr>
        <w:t>Verificación de disponibilidad</w:t>
      </w:r>
      <w:bookmarkEnd w:id="28"/>
    </w:p>
    <w:p w14:paraId="17D9E283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01691D0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AE1D86E" w14:textId="4A806A7D" w:rsidR="008D3CC2" w:rsidRPr="00242824" w:rsidRDefault="008D3CC2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9" w:name="_Toc498340695"/>
      <w:r w:rsidRPr="00242824">
        <w:rPr>
          <w:rFonts w:ascii="Arial" w:hAnsi="Arial" w:cs="Arial"/>
          <w:b/>
          <w:sz w:val="20"/>
          <w:lang w:val="es-PE" w:eastAsia="es-PE"/>
        </w:rPr>
        <w:t>OPERACIÓN DE SONARQUBE 6.X</w:t>
      </w:r>
      <w:bookmarkEnd w:id="29"/>
    </w:p>
    <w:p w14:paraId="03A1DFAD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0" w:name="_Toc498340696"/>
      <w:r w:rsidRPr="00242824">
        <w:rPr>
          <w:rFonts w:ascii="Arial" w:hAnsi="Arial" w:cs="Arial"/>
          <w:b/>
          <w:sz w:val="20"/>
        </w:rPr>
        <w:t>Iniciar servicios</w:t>
      </w:r>
      <w:bookmarkEnd w:id="30"/>
    </w:p>
    <w:p w14:paraId="740E9B0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F5D672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D4C2640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1" w:name="_Toc498340697"/>
      <w:r w:rsidRPr="00242824">
        <w:rPr>
          <w:rFonts w:ascii="Arial" w:hAnsi="Arial" w:cs="Arial"/>
          <w:b/>
          <w:sz w:val="20"/>
        </w:rPr>
        <w:t>Detener servicios</w:t>
      </w:r>
      <w:bookmarkEnd w:id="31"/>
    </w:p>
    <w:p w14:paraId="1D645DAA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E69F25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3182B43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2" w:name="_Toc498340698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32"/>
      <w:proofErr w:type="spellEnd"/>
    </w:p>
    <w:p w14:paraId="7E47ABAA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E91A03B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3BCBA7E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3" w:name="_Toc498340699"/>
      <w:r w:rsidRPr="00242824">
        <w:rPr>
          <w:rFonts w:ascii="Arial" w:hAnsi="Arial" w:cs="Arial"/>
          <w:b/>
          <w:sz w:val="20"/>
        </w:rPr>
        <w:t>Verificación de disponibilidad</w:t>
      </w:r>
      <w:bookmarkEnd w:id="33"/>
    </w:p>
    <w:p w14:paraId="0A4B636C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CD3810D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538B8F9" w14:textId="0BD0A0C0" w:rsidR="008D3CC2" w:rsidRPr="00242824" w:rsidRDefault="008D3CC2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34" w:name="_Toc498340700"/>
      <w:r w:rsidRPr="00242824">
        <w:rPr>
          <w:rFonts w:ascii="Arial" w:hAnsi="Arial" w:cs="Arial"/>
          <w:b/>
          <w:sz w:val="20"/>
          <w:lang w:val="es-PE" w:eastAsia="es-PE"/>
        </w:rPr>
        <w:t>OPERACIÓN DE SVN 1.9.X</w:t>
      </w:r>
      <w:bookmarkEnd w:id="34"/>
    </w:p>
    <w:p w14:paraId="16FDA741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5" w:name="_Toc498340701"/>
      <w:r w:rsidRPr="00242824">
        <w:rPr>
          <w:rFonts w:ascii="Arial" w:hAnsi="Arial" w:cs="Arial"/>
          <w:b/>
          <w:sz w:val="20"/>
        </w:rPr>
        <w:lastRenderedPageBreak/>
        <w:t>Iniciar servicios</w:t>
      </w:r>
      <w:bookmarkEnd w:id="35"/>
    </w:p>
    <w:p w14:paraId="1C06294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36A5944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1EF62B1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6" w:name="_Toc498340702"/>
      <w:r w:rsidRPr="00242824">
        <w:rPr>
          <w:rFonts w:ascii="Arial" w:hAnsi="Arial" w:cs="Arial"/>
          <w:b/>
          <w:sz w:val="20"/>
        </w:rPr>
        <w:t>Detener servicios</w:t>
      </w:r>
      <w:bookmarkEnd w:id="36"/>
    </w:p>
    <w:p w14:paraId="27A9E3B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B928F6B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094D9D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7" w:name="_Toc498340703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37"/>
      <w:proofErr w:type="spellEnd"/>
    </w:p>
    <w:p w14:paraId="697591A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5E6276C2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272DEC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8" w:name="_Toc498340704"/>
      <w:r w:rsidRPr="00242824">
        <w:rPr>
          <w:rFonts w:ascii="Arial" w:hAnsi="Arial" w:cs="Arial"/>
          <w:b/>
          <w:sz w:val="20"/>
        </w:rPr>
        <w:t>Verificación de disponibilidad</w:t>
      </w:r>
      <w:bookmarkEnd w:id="38"/>
    </w:p>
    <w:p w14:paraId="0BD913CC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0931CC14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C1CE719" w14:textId="4CB6E701" w:rsidR="008D3CC2" w:rsidRPr="00242824" w:rsidRDefault="008D3CC2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39" w:name="_Toc498340705"/>
      <w:r w:rsidRPr="00242824">
        <w:rPr>
          <w:rFonts w:ascii="Arial" w:hAnsi="Arial" w:cs="Arial"/>
          <w:b/>
          <w:sz w:val="20"/>
          <w:lang w:val="es-PE" w:eastAsia="es-PE"/>
        </w:rPr>
        <w:t>OPERACIÓN DE NEXUS OSS 3.X</w:t>
      </w:r>
      <w:bookmarkEnd w:id="39"/>
    </w:p>
    <w:p w14:paraId="555B8FF2" w14:textId="56999C6E" w:rsidR="00301766" w:rsidRPr="00242824" w:rsidRDefault="005319D3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40" w:name="_Toc498340706"/>
      <w:r w:rsidRPr="00242824">
        <w:rPr>
          <w:rFonts w:ascii="Arial" w:hAnsi="Arial" w:cs="Arial"/>
          <w:b/>
          <w:sz w:val="20"/>
        </w:rPr>
        <w:t>Iniciar servicios</w:t>
      </w:r>
      <w:bookmarkEnd w:id="40"/>
    </w:p>
    <w:p w14:paraId="73CDA399" w14:textId="5B9CB772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6367904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52EFC80" w14:textId="48A04694" w:rsidR="005319D3" w:rsidRPr="00242824" w:rsidRDefault="005319D3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41" w:name="_Toc498340707"/>
      <w:r w:rsidRPr="00242824">
        <w:rPr>
          <w:rFonts w:ascii="Arial" w:hAnsi="Arial" w:cs="Arial"/>
          <w:b/>
          <w:sz w:val="20"/>
        </w:rPr>
        <w:t>Detener servicios</w:t>
      </w:r>
      <w:bookmarkEnd w:id="41"/>
    </w:p>
    <w:p w14:paraId="418CCED1" w14:textId="664CA531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56A2F28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E13114F" w14:textId="23E87C0C" w:rsidR="005319D3" w:rsidRPr="00242824" w:rsidRDefault="002A087D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42" w:name="_Toc498340708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42"/>
      <w:proofErr w:type="spellEnd"/>
    </w:p>
    <w:p w14:paraId="759FC9A6" w14:textId="60445AAA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0E07E762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4DF0A4A0" w14:textId="720F6381" w:rsidR="002A087D" w:rsidRPr="00242824" w:rsidRDefault="002A087D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43" w:name="_Toc498340709"/>
      <w:r w:rsidRPr="00242824">
        <w:rPr>
          <w:rFonts w:ascii="Arial" w:hAnsi="Arial" w:cs="Arial"/>
          <w:b/>
          <w:sz w:val="20"/>
        </w:rPr>
        <w:t>Verificación de disponibilidad</w:t>
      </w:r>
      <w:bookmarkEnd w:id="43"/>
    </w:p>
    <w:p w14:paraId="39571136" w14:textId="4EF30A71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sectPr w:rsidR="002A087D" w:rsidRPr="00242824" w:rsidSect="00542F9C">
      <w:headerReference w:type="default" r:id="rId9"/>
      <w:footerReference w:type="default" r:id="rId10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9AEA7" w14:textId="77777777" w:rsidR="00F0584F" w:rsidRDefault="00F0584F">
      <w:r>
        <w:separator/>
      </w:r>
    </w:p>
  </w:endnote>
  <w:endnote w:type="continuationSeparator" w:id="0">
    <w:p w14:paraId="3F2117FB" w14:textId="77777777" w:rsidR="00F0584F" w:rsidRDefault="00F05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5E29AF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5E29AF" w:rsidRPr="009C0979" w:rsidRDefault="005E29AF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AD4516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AD4516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5E29AF" w:rsidRPr="002C5534" w:rsidRDefault="005E29AF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BDA91" w14:textId="77777777" w:rsidR="00F0584F" w:rsidRDefault="00F0584F">
      <w:r>
        <w:separator/>
      </w:r>
    </w:p>
  </w:footnote>
  <w:footnote w:type="continuationSeparator" w:id="0">
    <w:p w14:paraId="4797BA61" w14:textId="77777777" w:rsidR="00F0584F" w:rsidRDefault="00F05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5E29AF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5E29AF" w:rsidRPr="005F64C8" w:rsidRDefault="005E29AF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5E29AF" w:rsidRPr="005F64C8" w:rsidRDefault="005E29AF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5E29AF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5240256" w:rsidR="005E29AF" w:rsidRPr="005F64C8" w:rsidRDefault="005E29AF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C77EF2">
            <w:rPr>
              <w:rFonts w:ascii="Arial" w:hAnsi="Arial" w:cs="Arial"/>
              <w:bCs/>
              <w:sz w:val="16"/>
              <w:szCs w:val="16"/>
            </w:rPr>
            <w:t>Informe de instalación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5E29AF" w:rsidRPr="005F64C8" w:rsidRDefault="005E29AF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5E29AF" w:rsidRDefault="005E29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0.85pt;height:10.85pt" o:bullet="t">
        <v:imagedata r:id="rId1" o:title="mso390"/>
      </v:shape>
    </w:pict>
  </w:numPicBullet>
  <w:abstractNum w:abstractNumId="0" w15:restartNumberingAfterBreak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 w15:restartNumberingAfterBreak="0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 w15:restartNumberingAfterBreak="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 w15:restartNumberingAfterBreak="0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9" w15:restartNumberingAfterBreak="0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 w15:restartNumberingAfterBreak="0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3"/>
  </w:num>
  <w:num w:numId="7">
    <w:abstractNumId w:val="20"/>
  </w:num>
  <w:num w:numId="8">
    <w:abstractNumId w:val="22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18"/>
  </w:num>
  <w:num w:numId="18">
    <w:abstractNumId w:val="19"/>
  </w:num>
  <w:num w:numId="19">
    <w:abstractNumId w:val="21"/>
  </w:num>
  <w:num w:numId="20">
    <w:abstractNumId w:val="14"/>
  </w:num>
  <w:num w:numId="21">
    <w:abstractNumId w:val="15"/>
  </w:num>
  <w:num w:numId="22">
    <w:abstractNumId w:val="13"/>
  </w:num>
  <w:num w:numId="23">
    <w:abstractNumId w:val="17"/>
  </w:num>
  <w:num w:numId="2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74"/>
    <w:rsid w:val="000C76A4"/>
    <w:rsid w:val="000D0789"/>
    <w:rsid w:val="000D1522"/>
    <w:rsid w:val="000D20F1"/>
    <w:rsid w:val="000D2251"/>
    <w:rsid w:val="000D3198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53A3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DD1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349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2832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359D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24A2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8AE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080E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D78"/>
    <w:rsid w:val="00AB124E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AC4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83"/>
    <w:rsid w:val="00F038FF"/>
    <w:rsid w:val="00F03A38"/>
    <w:rsid w:val="00F03DB8"/>
    <w:rsid w:val="00F04053"/>
    <w:rsid w:val="00F051F6"/>
    <w:rsid w:val="00F05371"/>
    <w:rsid w:val="00F0584F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AD7"/>
    <w:rsid w:val="00FA625D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BBF4-7B52-4140-A18F-1038BBAF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1135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7367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edumar</dc:creator>
  <cp:lastModifiedBy>Milton Garcia Llamoca</cp:lastModifiedBy>
  <cp:revision>73</cp:revision>
  <cp:lastPrinted>2017-11-13T17:35:00Z</cp:lastPrinted>
  <dcterms:created xsi:type="dcterms:W3CDTF">2017-11-13T16:46:00Z</dcterms:created>
  <dcterms:modified xsi:type="dcterms:W3CDTF">2017-11-13T17:49:00Z</dcterms:modified>
</cp:coreProperties>
</file>