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e4a743688a03e516665ca84deaaecf0f38984b"/>
    <w:p>
      <w:pPr>
        <w:pStyle w:val="Heading1"/>
      </w:pPr>
      <w:r>
        <w:t xml:space="preserve">Surprise without the field: what the question means, what can answer it, and a card to run</w:t>
      </w:r>
    </w:p>
    <w:p>
      <w:pPr>
        <w:pStyle w:val="FirstParagraph"/>
      </w:pPr>
      <w:r>
        <w:rPr>
          <w:i/>
          <w:iCs/>
        </w:rPr>
        <w:t xml:space="preserve">2026-09-02, tier-1 session, for query R2.Q5 as Jonas narrowed it on 2026-08-29: before</w:t>
      </w:r>
      <w:r>
        <w:rPr>
          <w:i/>
          <w:iCs/>
        </w:rPr>
        <w:t xml:space="preserve"> </w:t>
      </w:r>
      <w:r>
        <w:rPr>
          <w:i/>
          <w:iCs/>
        </w:rPr>
        <w:t xml:space="preserve">the active-inference contribution is positioned in any paper, explore whether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surprise</w:t>
      </w:r>
      <w:r>
        <w:rPr>
          <w:i/>
          <w:iCs/>
        </w:rPr>
        <w:t xml:space="preserve"> </w:t>
      </w:r>
      <w:r>
        <w:rPr>
          <w:i/>
          <w:iCs/>
        </w:rPr>
        <w:t xml:space="preserve">elements can be kept on their own, with surprise defined as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scenario-agnostic</w:t>
      </w:r>
      <w:r>
        <w:rPr>
          <w:i/>
          <w:iCs/>
        </w:rPr>
        <w:t xml:space="preserve"> </w:t>
      </w:r>
      <w:r>
        <w:rPr>
          <w:i/>
          <w:iCs/>
        </w:rPr>
        <w:t xml:space="preserve">metric, even if the preference field is dropped. This is a design</w:t>
      </w:r>
      <w:r>
        <w:rPr>
          <w:i/>
          <w:iCs/>
        </w:rPr>
        <w:t xml:space="preserve"> </w:t>
      </w:r>
      <w:r>
        <w:rPr>
          <w:i/>
          <w:iCs/>
        </w:rPr>
        <w:t xml:space="preserve">note, not an analysis: nothing new is computed here, and every number quoted comes from</w:t>
      </w:r>
      <w:r>
        <w:rPr>
          <w:i/>
          <w:iCs/>
        </w:rPr>
        <w:t xml:space="preserve"> </w:t>
      </w:r>
      <w:r>
        <w:rPr>
          <w:i/>
          <w:iCs/>
        </w:rPr>
        <w:t xml:space="preserve">a tracked output named at the point of quotation. It ends with one executable card</w:t>
      </w:r>
      <w:r>
        <w:rPr>
          <w:i/>
          <w:iCs/>
        </w:rPr>
        <w:t xml:space="preserve"> </w:t>
      </w:r>
      <w:r>
        <w:rPr>
          <w:i/>
          <w:iCs/>
        </w:rPr>
        <w:t xml:space="preserve">(Q5.1) for the cheaper tier, with its decision rules stated in advance, and with what I</w:t>
      </w:r>
      <w:r>
        <w:rPr>
          <w:i/>
          <w:iCs/>
        </w:rPr>
        <w:t xml:space="preserve"> </w:t>
      </w:r>
      <w:r>
        <w:rPr>
          <w:i/>
          <w:iCs/>
        </w:rPr>
        <w:t xml:space="preserve">think each outcome would mean for positioning. Opinions are marked as such.</w:t>
      </w:r>
    </w:p>
    <w:bookmarkStart w:id="9" w:name="the-answer-in-one-paragraph"/>
    <w:p>
      <w:pPr>
        <w:pStyle w:val="Heading2"/>
      </w:pPr>
      <w:r>
        <w:t xml:space="preserve">0 The answer in one paragraph</w:t>
      </w:r>
    </w:p>
    <w:p>
      <w:pPr>
        <w:pStyle w:val="FirstParagraph"/>
      </w:pPr>
      <w:r>
        <w:t xml:space="preserve">The way I read it,</w:t>
      </w:r>
      <w:r>
        <w:t xml:space="preserve"> </w:t>
      </w:r>
      <w:r>
        <w:t xml:space="preserve">“surprise without the field”</w:t>
      </w:r>
      <w:r>
        <w:t xml:space="preserve"> </w:t>
      </w:r>
      <w:r>
        <w:t xml:space="preserve">is a well-posed question only once one</w:t>
      </w:r>
      <w:r>
        <w:t xml:space="preserve"> </w:t>
      </w:r>
      <w:r>
        <w:t xml:space="preserve">says what the surprise is relative to, because every member of the surprise family is an</w:t>
      </w:r>
      <w:r>
        <w:t xml:space="preserve"> </w:t>
      </w:r>
      <w:r>
        <w:t xml:space="preserve">operator on a reference distribution and the operator itself carries almost no content:</w:t>
      </w:r>
      <w:r>
        <w:t xml:space="preserve"> </w:t>
      </w:r>
      <w:r>
        <w:t xml:space="preserve">for any non-negative score there is a reference under which that score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residual</w:t>
      </w:r>
      <w:r>
        <w:t xml:space="preserve"> </w:t>
      </w:r>
      <w:r>
        <w:t xml:space="preserve">information. Scenario-agnosticism is therefore a property of the reference, not of the</w:t>
      </w:r>
      <w:r>
        <w:t xml:space="preserve"> </w:t>
      </w:r>
      <w:r>
        <w:t xml:space="preserve">operator, and there are exactly two classes of reference that are scenario-agnostic by</w:t>
      </w:r>
      <w:r>
        <w:t xml:space="preserve"> </w:t>
      </w:r>
      <w:r>
        <w:t xml:space="preserve">construction. One is a</w:t>
      </w:r>
      <w:r>
        <w:t xml:space="preserve"> </w:t>
      </w:r>
      <w:r>
        <w:rPr>
          <w:b/>
          <w:bCs/>
        </w:rPr>
        <w:t xml:space="preserve">predictive model of what other road users normally do</w:t>
      </w:r>
      <w:r>
        <w:t xml:space="preserve">, which</w:t>
      </w:r>
      <w:r>
        <w:t xml:space="preserve"> </w:t>
      </w:r>
      <w:r>
        <w:t xml:space="preserve">makes surprise a statement about the world (the Waymo construction). The other is a</w:t>
      </w:r>
      <w:r>
        <w:t xml:space="preserve"> </w:t>
      </w:r>
      <w:r>
        <w:rPr>
          <w:b/>
          <w:bCs/>
        </w:rPr>
        <w:t xml:space="preserve">population distribution of the states drivers normally accept</w:t>
      </w:r>
      <w:r>
        <w:t xml:space="preserve">, which makes surprise</w:t>
      </w:r>
      <w:r>
        <w:t xml:space="preserve"> </w:t>
      </w:r>
      <w:r>
        <w:t xml:space="preserve">a statement about the ego’s situation relative to its peers, and which turns out to be</w:t>
      </w:r>
      <w:r>
        <w:t xml:space="preserve"> </w:t>
      </w:r>
      <w:r>
        <w:t xml:space="preserve">the CZB ellipse under another name: the Mahalanobis joint percentile is residual</w:t>
      </w:r>
      <w:r>
        <w:t xml:space="preserve"> </w:t>
      </w:r>
      <w:r>
        <w:t xml:space="preserve">information under a Gaussian population reference. The first cannot be the comfort-zone</w:t>
      </w:r>
      <w:r>
        <w:t xml:space="preserve"> </w:t>
      </w:r>
      <w:r>
        <w:t xml:space="preserve">criticality axis on its own, because it is zero by construction in scenarios where the</w:t>
      </w:r>
      <w:r>
        <w:t xml:space="preserve"> </w:t>
      </w:r>
      <w:r>
        <w:t xml:space="preserve">other agent behaves normally and the discomfort comes from the ego’s own trajectory (the</w:t>
      </w:r>
      <w:r>
        <w:t xml:space="preserve"> </w:t>
      </w:r>
      <w:r>
        <w:t xml:space="preserve">cyclist overtake, one of the four scenarios on which the per-driver trait is shared).</w:t>
      </w:r>
      <w:r>
        <w:t xml:space="preserve"> </w:t>
      </w:r>
      <w:r>
        <w:t xml:space="preserve">It may still do a job the field was supposed to do and the gap threshold cannot: define</w:t>
      </w:r>
      <w:r>
        <w:t xml:space="preserve"> </w:t>
      </w:r>
      <w:r>
        <w:rPr>
          <w:i/>
          <w:iCs/>
        </w:rPr>
        <w:t xml:space="preserve">when the stimulus begins</w:t>
      </w:r>
      <w:r>
        <w:t xml:space="preserve">, independent of the lateral pace of the manoeuvre, which is</w:t>
      </w:r>
      <w:r>
        <w:t xml:space="preserve"> </w:t>
      </w:r>
      <w:r>
        <w:t xml:space="preserve">one of the two constraints the pipeline review extracted from the data. So the</w:t>
      </w:r>
      <w:r>
        <w:t xml:space="preserve"> </w:t>
      </w:r>
      <w:r>
        <w:t xml:space="preserve">candidate answer to R2.Q5 is not</w:t>
      </w:r>
      <w:r>
        <w:t xml:space="preserve"> </w:t>
      </w:r>
      <w:r>
        <w:t xml:space="preserve">“surprise as the axis”</w:t>
      </w:r>
      <w:r>
        <w:t xml:space="preserve"> </w:t>
      </w:r>
      <w:r>
        <w:t xml:space="preserve">but</w:t>
      </w:r>
      <w:r>
        <w:t xml:space="preserve"> </w:t>
      </w:r>
      <w:r>
        <w:t xml:space="preserve">“surprise as the onset,</w:t>
      </w:r>
      <w:r>
        <w:t xml:space="preserve"> </w:t>
      </w:r>
      <w:r>
        <w:t xml:space="preserve">population percentile as the level”</w:t>
      </w:r>
      <w:r>
        <w:t xml:space="preserve">: two references, not one field read at two levels.</w:t>
      </w:r>
      <w:r>
        <w:t xml:space="preserve"> </w:t>
      </w:r>
      <w:r>
        <w:t xml:space="preserve">Card Q5.1 tests the onset half on data already in hand, with no preference function</w:t>
      </w:r>
      <w:r>
        <w:t xml:space="preserve"> </w:t>
      </w:r>
      <w:r>
        <w:t xml:space="preserve">anywhere in the computation.</w:t>
      </w:r>
    </w:p>
    <w:bookmarkEnd w:id="9"/>
    <w:bookmarkStart w:id="10" w:name="X7322b0e2854493ec3d8ea22fe2720bad83dd86d"/>
    <w:p>
      <w:pPr>
        <w:pStyle w:val="Heading2"/>
      </w:pPr>
      <w:r>
        <w:t xml:space="preserve">1 What the project’s surprise was, and what exactly was falsified</w:t>
      </w:r>
    </w:p>
    <w:p>
      <w:pPr>
        <w:pStyle w:val="FirstParagraph"/>
      </w:pPr>
      <w:r>
        <w:t xml:space="preserve">The project used one member of one family. Residual information,</w:t>
      </w:r>
    </w:p>
    <w:p>
      <w:pPr>
        <w:pStyle w:val="BlockText"/>
      </w:pPr>
      <w:r>
        <w:t xml:space="preserve">h(x; P) = log max</w:t>
      </w:r>
      <w:r>
        <w:t xml:space="preserve">x′</w:t>
      </w:r>
      <w:r>
        <w:t xml:space="preserve"> </w:t>
      </w:r>
      <w:r>
        <w:t xml:space="preserve">P(x′) − log P(x) ≥ 0,</w:t>
      </w:r>
    </w:p>
    <w:p>
      <w:pPr>
        <w:pStyle w:val="FirstParagraph"/>
      </w:pPr>
      <w:r>
        <w:t xml:space="preserve">applied to the</w:t>
      </w:r>
      <w:r>
        <w:t xml:space="preserve"> </w:t>
      </w:r>
      <w:r>
        <w:rPr>
          <w:b/>
          <w:bCs/>
        </w:rPr>
        <w:t xml:space="preserve">preference prior</w:t>
      </w:r>
      <w:r>
        <w:t xml:space="preserve"> </w:t>
      </w:r>
      <w:r>
        <w:t xml:space="preserve">p(o) of the published model (Schumann et al., 2026)</w:t>
      </w:r>
      <w:r>
        <w:t xml:space="preserve"> </w:t>
      </w:r>
      <w:r>
        <w:t xml:space="preserve">gives the pragmatic deficit: surprise about one’s own preferred state. Evaluated</w:t>
      </w:r>
      <w:r>
        <w:t xml:space="preserve"> </w:t>
      </w:r>
      <w:r>
        <w:t xml:space="preserve">pointwise along a recorded trajectory it was the comfort-zone field; accumulated over</w:t>
      </w:r>
      <w:r>
        <w:t xml:space="preserve"> </w:t>
      </w:r>
      <w:r>
        <w:t xml:space="preserve">time it was the response-timing mechanism. Both readings have been tested on human data</w:t>
      </w:r>
      <w:r>
        <w:t xml:space="preserve"> </w:t>
      </w:r>
      <w:r>
        <w:t xml:space="preserve">and both failed their pre-registered rules (</w:t>
      </w:r>
      <w:r>
        <w:rPr>
          <w:rStyle w:val="VerbatimChar"/>
        </w:rPr>
        <w:t xml:space="preserve">docs/r2_gate_decisions.md</w:t>
      </w:r>
      <w:r>
        <w:t xml:space="preserve">; the</w:t>
      </w:r>
      <w:r>
        <w:t xml:space="preserve"> </w:t>
      </w:r>
      <w:r>
        <w:t xml:space="preserve">accumulator at gate R.1,</w:t>
      </w:r>
      <w:r>
        <w:t xml:space="preserve"> </w:t>
      </w:r>
      <w:r>
        <w:rPr>
          <w:rStyle w:val="VerbatimChar"/>
        </w:rPr>
        <w:t xml:space="preserve">replication/czb/out/stage2_summary.md</w:t>
      </w:r>
      <w:r>
        <w:t xml:space="preserve">; the axis at gate R.2,</w:t>
      </w:r>
      <w:r>
        <w:t xml:space="preserve"> </w:t>
      </w:r>
      <w:r>
        <w:rPr>
          <w:rStyle w:val="VerbatimChar"/>
        </w:rPr>
        <w:t xml:space="preserve">replication/czb/out/cutin2_field_vs_gap.md</w:t>
      </w:r>
      <w:r>
        <w:t xml:space="preserve">).</w:t>
      </w:r>
    </w:p>
    <w:p>
      <w:pPr>
        <w:pStyle w:val="BodyText"/>
      </w:pPr>
      <w:r>
        <w:t xml:space="preserve">The pipeline review (</w:t>
      </w:r>
      <w:r>
        <w:rPr>
          <w:rStyle w:val="VerbatimChar"/>
        </w:rPr>
        <w:t xml:space="preserve">docs/r2_pipeline_review.md</w:t>
      </w:r>
      <w:r>
        <w:t xml:space="preserve">) says what failed more precisely, and</w:t>
      </w:r>
      <w:r>
        <w:t xml:space="preserve"> </w:t>
      </w:r>
      <w:r>
        <w:t xml:space="preserve">it matters here. The field on the decisive cells was, to a good approximation, a</w:t>
      </w:r>
      <w:r>
        <w:t xml:space="preserve"> </w:t>
      </w:r>
      <w:r>
        <w:t xml:space="preserve">lane-entry gate times a worst-case counterfactual magnitude. The gate, a project</w:t>
      </w:r>
      <w:r>
        <w:t xml:space="preserve"> </w:t>
      </w:r>
      <w:r>
        <w:t xml:space="preserve">construction, made the deficit depend on the lateral pace of the cut-in when</w:t>
      </w:r>
      <w:r>
        <w:t xml:space="preserve"> </w:t>
      </w:r>
      <w:r>
        <w:t xml:space="preserve">participants do not (their response is flat across 2, 3 and 4 s lane changes at matched</w:t>
      </w:r>
      <w:r>
        <w:t xml:space="preserve"> </w:t>
      </w:r>
      <w:r>
        <w:t xml:space="preserve">time since onset, TTC and delta velocity); the magnitude, the published model’s</w:t>
      </w:r>
      <w:r>
        <w:t xml:space="preserve"> </w:t>
      </w:r>
      <w:r>
        <w:t xml:space="preserve">“lead brakes at 6 m/s², I react after 1 s”</w:t>
      </w:r>
      <w:r>
        <w:t xml:space="preserve"> </w:t>
      </w:r>
      <w:r>
        <w:t xml:space="preserve">counterfactual, ordered matched-TTC cells by</w:t>
      </w:r>
      <w:r>
        <w:t xml:space="preserve"> </w:t>
      </w:r>
      <w:r>
        <w:t xml:space="preserve">the vehicles’ absolute speeds when participants order them by gap. Neither failure is a</w:t>
      </w:r>
      <w:r>
        <w:t xml:space="preserve"> </w:t>
      </w:r>
      <w:r>
        <w:t xml:space="preserve">failure of the residual-information operator, which did what it does: it reported how</w:t>
      </w:r>
      <w:r>
        <w:t xml:space="preserve"> </w:t>
      </w:r>
      <w:r>
        <w:t xml:space="preserve">far the state was from the reference’s mode. Both are failures of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p>
      <w:pPr>
        <w:pStyle w:val="BodyText"/>
      </w:pPr>
      <w:r>
        <w:t xml:space="preserve">What was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used is worth listing, because it is what R2.Q5 asks about. The library</w:t>
      </w:r>
      <w:r>
        <w:t xml:space="preserve"> </w:t>
      </w:r>
      <w:r>
        <w:rPr>
          <w:rStyle w:val="VerbatimChar"/>
        </w:rPr>
        <w:t xml:space="preserve">src/surprise/</w:t>
      </w:r>
      <w:r>
        <w:t xml:space="preserve"> </w:t>
      </w:r>
      <w:r>
        <w:t xml:space="preserve">implements three further families (Modirshanechi et al., 2022;</w:t>
      </w:r>
      <w:r>
        <w:t xml:space="preserve"> </w:t>
      </w:r>
      <w:r>
        <w:t xml:space="preserve">Dinparastdjadid et al., 2023): probabilistic mismatch of an observation against a</w:t>
      </w:r>
      <w:r>
        <w:t xml:space="preserve"> </w:t>
      </w:r>
      <w:r>
        <w:t xml:space="preserve">predictive belief (surprisal, residual information, Bayes-factor surprise), belief</w:t>
      </w:r>
      <w:r>
        <w:t xml:space="preserve"> </w:t>
      </w:r>
      <w:r>
        <w:t xml:space="preserve">mismatch between a prior and a posterior belief (Bayesian surprise, postdictive</w:t>
      </w:r>
      <w:r>
        <w:t xml:space="preserve"> </w:t>
      </w:r>
      <w:r>
        <w:t xml:space="preserve">surprise, antithesis, confidence-corrected surprise), and observation mismatch against a</w:t>
      </w:r>
      <w:r>
        <w:t xml:space="preserve"> </w:t>
      </w:r>
      <w:r>
        <w:t xml:space="preserve">point prediction. All of them take a</w:t>
      </w:r>
      <w:r>
        <w:t xml:space="preserve"> </w:t>
      </w:r>
      <w:r>
        <w:rPr>
          <w:i/>
          <w:iCs/>
        </w:rPr>
        <w:t xml:space="preserve">predictive</w:t>
      </w:r>
      <w:r>
        <w:t xml:space="preserve"> </w:t>
      </w:r>
      <w:r>
        <w:t xml:space="preserve">distribution about the world as their</w:t>
      </w:r>
      <w:r>
        <w:t xml:space="preserve"> </w:t>
      </w:r>
      <w:r>
        <w:t xml:space="preserve">reference. None of them has been evaluated against any behavioral data in this project.</w:t>
      </w:r>
      <w:r>
        <w:t xml:space="preserve"> </w:t>
      </w:r>
      <w:r>
        <w:t xml:space="preserve">The library is validated on its own terms (31 property tests) and works unchanged on</w:t>
      </w:r>
      <w:r>
        <w:t xml:space="preserve"> </w:t>
      </w:r>
      <w:r>
        <w:t xml:space="preserve">Gaussians, mixtures, particle sets and categoricals; that is a statement about</w:t>
      </w:r>
      <w:r>
        <w:t xml:space="preserve"> </w:t>
      </w:r>
      <w:r>
        <w:t xml:space="preserve">software, not about drivers.</w:t>
      </w:r>
    </w:p>
    <w:bookmarkEnd w:id="10"/>
    <w:bookmarkStart w:id="11" w:name="why-the-reference-is-the-whole-question"/>
    <w:p>
      <w:pPr>
        <w:pStyle w:val="Heading2"/>
      </w:pPr>
      <w:r>
        <w:t xml:space="preserve">2 Why the reference is the whole question</w:t>
      </w:r>
    </w:p>
    <w:p>
      <w:pPr>
        <w:pStyle w:val="FirstParagraph"/>
      </w:pPr>
      <w:r>
        <w:t xml:space="preserve">A short argument that I think settles what</w:t>
      </w:r>
      <w:r>
        <w:t xml:space="preserve"> </w:t>
      </w:r>
      <w:r>
        <w:t xml:space="preserve">“keep surprise, drop the field”</w:t>
      </w:r>
      <w:r>
        <w:t xml:space="preserve"> </w:t>
      </w:r>
      <w:r>
        <w:t xml:space="preserve">can and</w:t>
      </w:r>
      <w:r>
        <w:t xml:space="preserve"> </w:t>
      </w:r>
      <w:r>
        <w:t xml:space="preserve">cannot mean.</w:t>
      </w:r>
    </w:p>
    <w:p>
      <w:pPr>
        <w:pStyle w:val="BodyText"/>
      </w:pPr>
      <w:r>
        <w:t xml:space="preserve">Take any non-negative score s(x) on states, for instance</w:t>
      </w:r>
      <w:r>
        <w:t xml:space="preserve"> </w:t>
      </w:r>
      <w:r>
        <w:t xml:space="preserve">“gap threshold exceedance”</w:t>
      </w:r>
      <w:r>
        <w:t xml:space="preserve">,</w:t>
      </w:r>
      <w:r>
        <w:t xml:space="preserve"> </w:t>
      </w:r>
      <w:r>
        <w:t xml:space="preserve">s = max(c − gap, 0). Define a reference P(x) ∝ exp(−s(x)). Then residual information</w:t>
      </w:r>
      <w:r>
        <w:t xml:space="preserve"> </w:t>
      </w:r>
      <w:r>
        <w:t xml:space="preserve">under P is h(x; P) = s(x) − min s = s(x). So the surprise family with a</w:t>
      </w:r>
      <w:r>
        <w:t xml:space="preserve"> </w:t>
      </w:r>
      <w:r>
        <w:rPr>
          <w:i/>
          <w:iCs/>
        </w:rPr>
        <w:t xml:space="preserve">free</w:t>
      </w:r>
      <w:r>
        <w:t xml:space="preserve"> </w:t>
      </w:r>
      <w:r>
        <w:t xml:space="preserve">reference</w:t>
      </w:r>
      <w:r>
        <w:t xml:space="preserve"> </w:t>
      </w:r>
      <w:r>
        <w:t xml:space="preserve">reproduces every threshold model there is, including the log-gap threshold that beat the</w:t>
      </w:r>
      <w:r>
        <w:t xml:space="preserve"> </w:t>
      </w:r>
      <w:r>
        <w:t xml:space="preserve">field. It follows that a proposal of the form</w:t>
      </w:r>
      <w:r>
        <w:t xml:space="preserve"> </w:t>
      </w:r>
      <w:r>
        <w:t xml:space="preserve">“replace the preference prior by a</w:t>
      </w:r>
      <w:r>
        <w:t xml:space="preserve"> </w:t>
      </w:r>
      <w:r>
        <w:t xml:space="preserve">different hand-built prior over the ego’s states”</w:t>
      </w:r>
      <w:r>
        <w:t xml:space="preserve"> </w:t>
      </w:r>
      <w:r>
        <w:t xml:space="preserve">is a relabeling of a threshold model,</w:t>
      </w:r>
      <w:r>
        <w:t xml:space="preserve"> </w:t>
      </w:r>
      <w:r>
        <w:t xml:space="preserve">and gains nothing from the surprise vocabulary except the zero floor, which the</w:t>
      </w:r>
      <w:r>
        <w:t xml:space="preserve"> </w:t>
      </w:r>
      <w:r>
        <w:t xml:space="preserve">threshold model already has. I would not put such a proposal in a paper under the</w:t>
      </w:r>
      <w:r>
        <w:t xml:space="preserve"> </w:t>
      </w:r>
      <w:r>
        <w:t xml:space="preserve">surprise name, and I do not think Jonas’s question is asking for it.</w:t>
      </w:r>
    </w:p>
    <w:p>
      <w:pPr>
        <w:pStyle w:val="BodyText"/>
      </w:pPr>
      <w:r>
        <w:t xml:space="preserve">The content of a surprise measure comes entirely from constraints on the reference that</w:t>
      </w:r>
      <w:r>
        <w:t xml:space="preserve"> </w:t>
      </w:r>
      <w:r>
        <w:t xml:space="preserve">one is not free to choose: that it is a genuine</w:t>
      </w:r>
      <w:r>
        <w:t xml:space="preserve"> </w:t>
      </w:r>
      <w:r>
        <w:rPr>
          <w:i/>
          <w:iCs/>
        </w:rPr>
        <w:t xml:space="preserve">predictive</w:t>
      </w:r>
      <w:r>
        <w:t xml:space="preserve"> </w:t>
      </w:r>
      <w:r>
        <w:t xml:space="preserve">distribution, estimated</w:t>
      </w:r>
      <w:r>
        <w:t xml:space="preserve"> </w:t>
      </w:r>
      <w:r>
        <w:t xml:space="preserve">from how road users actually behave, or a genuine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distribution, estimated</w:t>
      </w:r>
      <w:r>
        <w:t xml:space="preserve"> </w:t>
      </w:r>
      <w:r>
        <w:t xml:space="preserve">from what drivers actually accept. Under either constraint the reference is fixed by</w:t>
      </w:r>
      <w:r>
        <w:t xml:space="preserve"> </w:t>
      </w:r>
      <w:r>
        <w:t xml:space="preserve">data rather than by the analyst, the operator then has something to say, and, decisively</w:t>
      </w:r>
      <w:r>
        <w:t xml:space="preserve"> </w:t>
      </w:r>
      <w:r>
        <w:t xml:space="preserve">for R2.Q5, both constraints are</w:t>
      </w:r>
      <w:r>
        <w:t xml:space="preserve"> </w:t>
      </w:r>
      <w:r>
        <w:rPr>
          <w:b/>
          <w:bCs/>
        </w:rPr>
        <w:t xml:space="preserve">scenario-agnostic in form</w:t>
      </w:r>
      <w:r>
        <w:t xml:space="preserve">. A predictor of other</w:t>
      </w:r>
      <w:r>
        <w:t xml:space="preserve"> </w:t>
      </w:r>
      <w:r>
        <w:t xml:space="preserve">agents’ motion does not know what scenario it is in; a population distribution of</w:t>
      </w:r>
      <w:r>
        <w:t xml:space="preserve"> </w:t>
      </w:r>
      <w:r>
        <w:t xml:space="preserve">accepted states can be estimated for any scenario by the same recipe. The preference</w:t>
      </w:r>
      <w:r>
        <w:t xml:space="preserve"> </w:t>
      </w:r>
      <w:r>
        <w:t xml:space="preserve">prior, by contrast, was scenario-agnostic in its six terms but scenario-specific in what</w:t>
      </w:r>
      <w:r>
        <w:t xml:space="preserve"> </w:t>
      </w:r>
      <w:r>
        <w:t xml:space="preserve">the two conflict terms encode, which is where it lost.</w:t>
      </w:r>
    </w:p>
    <w:p>
      <w:pPr>
        <w:pStyle w:val="BodyText"/>
      </w:pPr>
      <w:r>
        <w:t xml:space="preserve">The rest of this note takes the two constrained references in turn.</w:t>
      </w:r>
    </w:p>
    <w:bookmarkEnd w:id="11"/>
    <w:bookmarkStart w:id="15" w:name="X28762d2d250da945d98601c17d942e4017ffc04"/>
    <w:p>
      <w:pPr>
        <w:pStyle w:val="Heading2"/>
      </w:pPr>
      <w:r>
        <w:t xml:space="preserve">3 Reference A: a predictive model of the world</w:t>
      </w:r>
    </w:p>
    <w:bookmarkStart w:id="12" w:name="what-it-is"/>
    <w:p>
      <w:pPr>
        <w:pStyle w:val="Heading3"/>
      </w:pPr>
      <w:r>
        <w:t xml:space="preserve">3.1 What it is</w:t>
      </w:r>
    </w:p>
    <w:p>
      <w:pPr>
        <w:pStyle w:val="FirstParagraph"/>
      </w:pPr>
      <w:r>
        <w:t xml:space="preserve">This is the construction of Dinparastdjadid et al. (2023): a generative model emits, at</w:t>
      </w:r>
      <w:r>
        <w:t xml:space="preserve"> </w:t>
      </w:r>
      <w:r>
        <w:t xml:space="preserve">each time t, a belief about each other agent’s state at future times; surprise is the</w:t>
      </w:r>
      <w:r>
        <w:t xml:space="preserve"> </w:t>
      </w:r>
      <w:r>
        <w:t xml:space="preserve">observation’s residual information under the belief made h seconds earlier</w:t>
      </w:r>
      <w:r>
        <w:t xml:space="preserve"> </w:t>
      </w:r>
      <w:r>
        <w:t xml:space="preserve">(probabilistic mismatch), or the divergence between the belief made at t − h and the</w:t>
      </w:r>
      <w:r>
        <w:t xml:space="preserve"> </w:t>
      </w:r>
      <w:r>
        <w:t xml:space="preserve">belief made at t about the same future time t + z (belief mismatch; the paper’s own</w:t>
      </w:r>
      <w:r>
        <w:t xml:space="preserve"> </w:t>
      </w:r>
      <w:r>
        <w:t xml:space="preserve">measure, antithesis, is the one that stays zero when nothing unexpected happens). The</w:t>
      </w:r>
      <w:r>
        <w:t xml:space="preserve"> </w:t>
      </w:r>
      <w:r>
        <w:t xml:space="preserve">library implements exactly this bookkeeping (</w:t>
      </w:r>
      <w:r>
        <w:rPr>
          <w:rStyle w:val="VerbatimChar"/>
        </w:rPr>
        <w:t xml:space="preserve">surprise.timeseries.surprise_time_series</w:t>
      </w:r>
      <w:r>
        <w:t xml:space="preserve">),</w:t>
      </w:r>
      <w:r>
        <w:t xml:space="preserve"> </w:t>
      </w:r>
      <w:r>
        <w:t xml:space="preserve">including the two timing parameters, which the paper reports must be swept because the</w:t>
      </w:r>
      <w:r>
        <w:t xml:space="preserve"> </w:t>
      </w:r>
      <w:r>
        <w:t xml:space="preserve">effect of z is not monotone.</w:t>
      </w:r>
    </w:p>
    <w:p>
      <w:pPr>
        <w:pStyle w:val="BodyText"/>
      </w:pPr>
      <w:r>
        <w:t xml:space="preserve">Two facts about this reference decide what it can do for us.</w:t>
      </w:r>
    </w:p>
    <w:p>
      <w:pPr>
        <w:pStyle w:val="BodyText"/>
      </w:pPr>
      <w:r>
        <w:rPr>
          <w:b/>
          <w:bCs/>
        </w:rPr>
        <w:t xml:space="preserve">It is scenario-agnostic by construction.</w:t>
      </w:r>
      <w:r>
        <w:t xml:space="preserve"> </w:t>
      </w:r>
      <w:r>
        <w:t xml:space="preserve">The same predictor, run on the other agent’s</w:t>
      </w:r>
      <w:r>
        <w:t xml:space="preserve"> </w:t>
      </w:r>
      <w:r>
        <w:t xml:space="preserve">recorded positions in a body frame, yields a lateral and a longitudinal surprise series</w:t>
      </w:r>
      <w:r>
        <w:t xml:space="preserve"> </w:t>
      </w:r>
      <w:r>
        <w:t xml:space="preserve">in a cut-in, a left turn across path, a truck drifting laterally, or a cyclist being</w:t>
      </w:r>
      <w:r>
        <w:t xml:space="preserve"> </w:t>
      </w:r>
      <w:r>
        <w:t xml:space="preserve">passed. Nothing in it needs the hand geometry that every field construction has needed</w:t>
      </w:r>
      <w:r>
        <w:t xml:space="preserve"> </w:t>
      </w:r>
      <w:r>
        <w:t xml:space="preserve">(lane gates, crossing zones, co-occupancy rules).</w:t>
      </w:r>
    </w:p>
    <w:p>
      <w:pPr>
        <w:pStyle w:val="BodyText"/>
      </w:pPr>
      <w:r>
        <w:rPr>
          <w:b/>
          <w:bCs/>
        </w:rPr>
        <w:t xml:space="preserve">It is zero wherever the other agent does nothing unexpected.</w:t>
      </w:r>
      <w:r>
        <w:t xml:space="preserve"> </w:t>
      </w:r>
      <w:r>
        <w:t xml:space="preserve">That is not a defect;</w:t>
      </w:r>
      <w:r>
        <w:t xml:space="preserve"> </w:t>
      </w:r>
      <w:r>
        <w:t xml:space="preserve">it is what</w:t>
      </w:r>
      <w:r>
        <w:t xml:space="preserve"> </w:t>
      </w:r>
      <w:r>
        <w:t xml:space="preserve">“surprise about the world”</w:t>
      </w:r>
      <w:r>
        <w:t xml:space="preserve"> </w:t>
      </w:r>
      <w:r>
        <w:t xml:space="preserve">means. But it means that in the cyclist overtake,</w:t>
      </w:r>
      <w:r>
        <w:t xml:space="preserve"> </w:t>
      </w:r>
      <w:r>
        <w:t xml:space="preserve">where the cyclist rides steadily and the ego chooses how close to pass, world surprise is</w:t>
      </w:r>
      <w:r>
        <w:t xml:space="preserve"> </w:t>
      </w:r>
      <w:r>
        <w:t xml:space="preserve">identically zero at every clearance, while participants intervene at 0.14 to 0.69</w:t>
      </w:r>
      <w:r>
        <w:t xml:space="preserve"> </w:t>
      </w:r>
      <w:r>
        <w:t xml:space="preserve">across the 15 cells (</w:t>
      </w:r>
      <w:r>
        <w:rPr>
          <w:rStyle w:val="VerbatimChar"/>
        </w:rPr>
        <w:t xml:space="preserve">replication/czb/out/transfer_overtake_summary.md</w:t>
      </w:r>
      <w:r>
        <w:t xml:space="preserve">). The same holds</w:t>
      </w:r>
      <w:r>
        <w:t xml:space="preserve"> </w:t>
      </w:r>
      <w:r>
        <w:t xml:space="preserve">for any scenario in which discomfort arises from the ego’s own trajectory. Since the</w:t>
      </w:r>
      <w:r>
        <w:t xml:space="preserve"> </w:t>
      </w:r>
      <w:r>
        <w:t xml:space="preserve">per-driver comfort-zone level is shared at about 0.69 of the reliability ceiling across</w:t>
      </w:r>
      <w:r>
        <w:t xml:space="preserve"> </w:t>
      </w:r>
      <w:r>
        <w:t xml:space="preserve">all four scenarios</w:t>
      </w:r>
      <w:r>
        <w:t xml:space="preserve"> </w:t>
      </w:r>
      <w:r>
        <w:rPr>
          <w:i/>
          <w:iCs/>
        </w:rPr>
        <w:t xml:space="preserve">including</w:t>
      </w:r>
      <w:r>
        <w:t xml:space="preserve"> </w:t>
      </w:r>
      <w:r>
        <w:t xml:space="preserve">the overtake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replication/czb/out/cross_scenario_consistency.md</w:t>
      </w:r>
      <w:r>
        <w:t xml:space="preserve">), whatever the shared trait is, it</w:t>
      </w:r>
      <w:r>
        <w:t xml:space="preserve"> </w:t>
      </w:r>
      <w:r>
        <w:t xml:space="preserve">is not sensitivity to world surprise alone. This is, as far as I can tell, a derivation</w:t>
      </w:r>
      <w:r>
        <w:t xml:space="preserve"> </w:t>
      </w:r>
      <w:r>
        <w:t xml:space="preserve">rather than a finding, and it rules out reference A as the sole criticality axis before</w:t>
      </w:r>
      <w:r>
        <w:t xml:space="preserve"> </w:t>
      </w:r>
      <w:r>
        <w:t xml:space="preserve">anything is run.</w:t>
      </w:r>
    </w:p>
    <w:bookmarkEnd w:id="12"/>
    <w:bookmarkStart w:id="13" w:name="what-it-may-still-do-define-the-onset"/>
    <w:p>
      <w:pPr>
        <w:pStyle w:val="Heading3"/>
      </w:pPr>
      <w:r>
        <w:t xml:space="preserve">3.2 What it may still do: define the onset</w:t>
      </w:r>
    </w:p>
    <w:p>
      <w:pPr>
        <w:pStyle w:val="FirstParagraph"/>
      </w:pPr>
      <w:r>
        <w:t xml:space="preserve">The pipeline review extracted two constraints from the second cut-in study on any</w:t>
      </w:r>
      <w:r>
        <w:t xml:space="preserve"> </w:t>
      </w:r>
      <w:r>
        <w:t xml:space="preserve">reference that would replace the field. The first was that the response engages when</w:t>
      </w:r>
      <w:r>
        <w:t xml:space="preserve"> </w:t>
      </w:r>
      <w:r>
        <w:t xml:space="preserve">encroachment</w:t>
      </w:r>
      <w:r>
        <w:t xml:space="preserve"> </w:t>
      </w:r>
      <w:r>
        <w:rPr>
          <w:i/>
          <w:iCs/>
        </w:rPr>
        <w:t xml:space="preserve">begins</w:t>
      </w:r>
      <w:r>
        <w:t xml:space="preserve">, independent of how fast the lateral motion proceeds. A</w:t>
      </w:r>
      <w:r>
        <w:t xml:space="preserve"> </w:t>
      </w:r>
      <w:r>
        <w:t xml:space="preserve">belief-mismatch surprise about the target’s lateral position has precisely that</w:t>
      </w:r>
      <w:r>
        <w:t xml:space="preserve"> </w:t>
      </w:r>
      <w:r>
        <w:t xml:space="preserve">property: its onset is the first frame at which the target’s lateral motion departs</w:t>
      </w:r>
      <w:r>
        <w:t xml:space="preserve"> </w:t>
      </w:r>
      <w:r>
        <w:t xml:space="preserve">from the prediction, which does not depend on the pace of the motion, while its</w:t>
      </w:r>
      <w:r>
        <w:t xml:space="preserve"> </w:t>
      </w:r>
      <w:r>
        <w:rPr>
          <w:i/>
          <w:iCs/>
        </w:rPr>
        <w:t xml:space="preserve">magnitude</w:t>
      </w:r>
      <w:r>
        <w:t xml:space="preserve"> </w:t>
      </w:r>
      <w:r>
        <w:t xml:space="preserve">does (a faster lane change is a larger departure). The field’s gate had the</w:t>
      </w:r>
      <w:r>
        <w:t xml:space="preserve"> </w:t>
      </w:r>
      <w:r>
        <w:t xml:space="preserve">opposite property: its onset depended on the pace, through the projection to closure.</w:t>
      </w:r>
    </w:p>
    <w:p>
      <w:pPr>
        <w:pStyle w:val="BodyText"/>
      </w:pPr>
      <w:r>
        <w:t xml:space="preserve">So the honest role of reference A, in my reading, is the one the Waymo paper itself</w:t>
      </w:r>
      <w:r>
        <w:t xml:space="preserve"> </w:t>
      </w:r>
      <w:r>
        <w:t xml:space="preserve">proposes for it: to define when the stimulus begins (their second application,</w:t>
      </w:r>
      <w:r>
        <w:t xml:space="preserve"> </w:t>
      </w:r>
      <w:r>
        <w:t xml:space="preserve">response-time modeling,</w:t>
      </w:r>
      <w:r>
        <w:t xml:space="preserve"> </w:t>
      </w:r>
      <w:r>
        <w:t xml:space="preserve">“solving the when-do-you-start-the-clock problem”</w:t>
      </w:r>
      <w:r>
        <w:t xml:space="preserve">), and, in</w:t>
      </w:r>
      <w:r>
        <w:t xml:space="preserve"> </w:t>
      </w:r>
      <w:r>
        <w:t xml:space="preserve">combination with a proximity condition, to define when a conflict exists (their first</w:t>
      </w:r>
      <w:r>
        <w:t xml:space="preserve"> </w:t>
      </w:r>
      <w:r>
        <w:t xml:space="preserve">application: conflict = surprise ∧ spatiotemporal proximity). Neither of those is the</w:t>
      </w:r>
      <w:r>
        <w:t xml:space="preserve"> </w:t>
      </w:r>
      <w:r>
        <w:t xml:space="preserve">criticality axis. The axis, on the decisive data, is proximity, currently best</w:t>
      </w:r>
      <w:r>
        <w:t xml:space="preserve"> </w:t>
      </w:r>
      <w:r>
        <w:t xml:space="preserve">represented by the log gap and next by TTC; the surprise says when the axis starts to</w:t>
      </w:r>
      <w:r>
        <w:t xml:space="preserve"> </w:t>
      </w:r>
      <w:r>
        <w:t xml:space="preserve">count. That is a coherent two-object account, and it is consistent with the trait</w:t>
      </w:r>
      <w:r>
        <w:t xml:space="preserve"> </w:t>
      </w:r>
      <w:r>
        <w:t xml:space="preserve">finding: the shared per-driver level is a proximity tolerance, and the scenario-specific</w:t>
      </w:r>
      <w:r>
        <w:t xml:space="preserve"> </w:t>
      </w:r>
      <w:r>
        <w:t xml:space="preserve">third of the variance may in part be how surprising the different scenarios’ other</w:t>
      </w:r>
      <w:r>
        <w:t xml:space="preserve"> </w:t>
      </w:r>
      <w:r>
        <w:t xml:space="preserve">agents are.</w:t>
      </w:r>
    </w:p>
    <w:bookmarkEnd w:id="13"/>
    <w:bookmarkStart w:id="14" w:name="what-predictor-given-what-we-have"/>
    <w:p>
      <w:pPr>
        <w:pStyle w:val="Heading3"/>
      </w:pPr>
      <w:r>
        <w:t xml:space="preserve">3.3 What predictor, given what we have</w:t>
      </w:r>
    </w:p>
    <w:p>
      <w:pPr>
        <w:pStyle w:val="FirstParagraph"/>
      </w:pPr>
      <w:r>
        <w:t xml:space="preserve">We have no learned predictor of normal driving, and the stimuli are simulator-scripted,</w:t>
      </w:r>
      <w:r>
        <w:t xml:space="preserve"> </w:t>
      </w:r>
      <w:r>
        <w:t xml:space="preserve">so the reference cannot be fitted to the study clips themselves without circularity. The</w:t>
      </w:r>
      <w:r>
        <w:t xml:space="preserve"> </w:t>
      </w:r>
      <w:r>
        <w:t xml:space="preserve">stand-in that costs nothing and is standard in the trajectory-prediction literature as</w:t>
      </w:r>
      <w:r>
        <w:t xml:space="preserve"> </w:t>
      </w:r>
      <w:r>
        <w:t xml:space="preserve">the baseline is a</w:t>
      </w:r>
      <w:r>
        <w:t xml:space="preserve"> </w:t>
      </w:r>
      <w:r>
        <w:rPr>
          <w:b/>
          <w:bCs/>
        </w:rPr>
        <w:t xml:space="preserve">constant-velocity Gaussian predictor</w:t>
      </w:r>
      <w:r>
        <w:t xml:space="preserve">: the other agent’s future</w:t>
      </w:r>
      <w:r>
        <w:t xml:space="preserve"> </w:t>
      </w:r>
      <w:r>
        <w:t xml:space="preserve">body-frame position is Gaussian around its constant-velocity extrapolation, with</w:t>
      </w:r>
      <w:r>
        <w:t xml:space="preserve"> </w:t>
      </w:r>
      <w:r>
        <w:t xml:space="preserve">standard deviation growing with the horizon. This has two parameters per axis (the</w:t>
      </w:r>
      <w:r>
        <w:t xml:space="preserve"> </w:t>
      </w:r>
      <w:r>
        <w:t xml:space="preserve">uncertainty at zero horizon and its growth rate), plus the paper’s h and z. Every one of</w:t>
      </w:r>
      <w:r>
        <w:t xml:space="preserve"> </w:t>
      </w:r>
      <w:r>
        <w:t xml:space="preserve">them needs a stated motivation before the card runs; the card below states them as</w:t>
      </w:r>
      <w:r>
        <w:t xml:space="preserve"> </w:t>
      </w:r>
      <w:r>
        <w:t xml:space="preserve">sweeps with the paper’s advice as the motivation, and requires the report to show the</w:t>
      </w:r>
      <w:r>
        <w:t xml:space="preserve"> </w:t>
      </w:r>
      <w:r>
        <w:t xml:space="preserve">sensitivity rather than one chosen value. A constant-velocity reference is also honest</w:t>
      </w:r>
      <w:r>
        <w:t xml:space="preserve"> </w:t>
      </w:r>
      <w:r>
        <w:t xml:space="preserve">about what it claims: it encodes only</w:t>
      </w:r>
      <w:r>
        <w:t xml:space="preserve"> </w:t>
      </w:r>
      <w:r>
        <w:t xml:space="preserve">“road users keep doing what they are doing”</w:t>
      </w:r>
      <w:r>
        <w:t xml:space="preserve">, which</w:t>
      </w:r>
      <w:r>
        <w:t xml:space="preserve"> </w:t>
      </w:r>
      <w:r>
        <w:t xml:space="preserve">is the weakest possible norm and is the same in every scenario.</w:t>
      </w:r>
    </w:p>
    <w:p>
      <w:pPr>
        <w:pStyle w:val="BodyText"/>
      </w:pPr>
      <w:r>
        <w:t xml:space="preserve">Two better references exist and are named for the record. A predictor learned from</w:t>
      </w:r>
      <w:r>
        <w:t xml:space="preserve"> </w:t>
      </w:r>
      <w:r>
        <w:t xml:space="preserve">naturalistic data, which is what the NDS access is partly for (</w:t>
      </w:r>
      <w:r>
        <w:rPr>
          <w:rStyle w:val="VerbatimChar"/>
        </w:rPr>
        <w:t xml:space="preserve">docs/czb_validation_roadmap.md</w:t>
      </w:r>
      <w:r>
        <w:t xml:space="preserve"> </w:t>
      </w:r>
      <w:r>
        <w:t xml:space="preserve">§4c); and the published model’s own norm-shaped prediction machinery, run open-loop on</w:t>
      </w:r>
      <w:r>
        <w:t xml:space="preserve"> </w:t>
      </w:r>
      <w:r>
        <w:t xml:space="preserve">recorded kinematics (the particle filter and the norm weighting without the planner),</w:t>
      </w:r>
      <w:r>
        <w:t xml:space="preserve"> </w:t>
      </w:r>
      <w:r>
        <w:t xml:space="preserve">which would make the reference the model’s beliefs rather than a kinematic prior. The</w:t>
      </w:r>
      <w:r>
        <w:t xml:space="preserve"> </w:t>
      </w:r>
      <w:r>
        <w:t xml:space="preserve">second inherits the per-scenario hand-written norms of handbook chapter 07, and so is</w:t>
      </w:r>
      <w:r>
        <w:t xml:space="preserve"> </w:t>
      </w:r>
      <w:r>
        <w:t xml:space="preserve">scenario-agnostic in machinery but not in content; it is the natural follow-up if the</w:t>
      </w:r>
      <w:r>
        <w:t xml:space="preserve"> </w:t>
      </w:r>
      <w:r>
        <w:t xml:space="preserve">constant-velocity stand-in shows the onset property and nothing more.</w:t>
      </w:r>
    </w:p>
    <w:bookmarkEnd w:id="14"/>
    <w:bookmarkEnd w:id="15"/>
    <w:bookmarkStart w:id="16" w:name="X99dc6aba9d3c97b39ac78199ae5797df273aee1"/>
    <w:p>
      <w:pPr>
        <w:pStyle w:val="Heading2"/>
      </w:pPr>
      <w:r>
        <w:t xml:space="preserve">4 Reference B: a population distribution of accepted states, which is the ellipse</w:t>
      </w:r>
    </w:p>
    <w:p>
      <w:pPr>
        <w:pStyle w:val="FirstParagraph"/>
      </w:pPr>
      <w:r>
        <w:t xml:space="preserve">The second scenario-agnostic reference is the distribution of states drivers routinely</w:t>
      </w:r>
      <w:r>
        <w:t xml:space="preserve"> </w:t>
      </w:r>
      <w:r>
        <w:t xml:space="preserve">accept: steady-state headways at speed, accepted lateral clearances, accepted arrival-time</w:t>
      </w:r>
      <w:r>
        <w:t xml:space="preserve"> </w:t>
      </w:r>
      <w:r>
        <w:t xml:space="preserve">separations. Surprise relative to that reference asks</w:t>
      </w:r>
      <w:r>
        <w:t xml:space="preserve"> </w:t>
      </w:r>
      <w:r>
        <w:t xml:space="preserve">“how unusual is my present state</w:t>
      </w:r>
      <w:r>
        <w:t xml:space="preserve"> </w:t>
      </w:r>
      <w:r>
        <w:t xml:space="preserve">among the states drivers normally tolerate”</w:t>
      </w:r>
      <w:r>
        <w:t xml:space="preserve">, which is a sensible reading of what a</w:t>
      </w:r>
      <w:r>
        <w:t xml:space="preserve"> </w:t>
      </w:r>
      <w:r>
        <w:t xml:space="preserve">comfort-zone boundary is, and the roadmap already lists its estimation as one of the</w:t>
      </w:r>
      <w:r>
        <w:t xml:space="preserve"> </w:t>
      </w:r>
      <w:r>
        <w:t xml:space="preserve">uses of naturalistic data (§4c, use 3:</w:t>
      </w:r>
      <w:r>
        <w:t xml:space="preserve"> </w:t>
      </w:r>
      <w:r>
        <w:t xml:space="preserve">“drivers should mostly live inside their own</w:t>
      </w:r>
      <w:r>
        <w:t xml:space="preserve"> </w:t>
      </w:r>
      <w:r>
        <w:t xml:space="preserve">comfort zones”</w:t>
      </w:r>
      <w:r>
        <w:t xml:space="preserve">).</w:t>
      </w:r>
    </w:p>
    <w:p>
      <w:pPr>
        <w:pStyle w:val="BodyText"/>
      </w:pPr>
      <w:r>
        <w:t xml:space="preserve">A small identity shows that this reference is not a new proposal but the one Jonas has</w:t>
      </w:r>
      <w:r>
        <w:t xml:space="preserve"> </w:t>
      </w:r>
      <w:r>
        <w:t xml:space="preserve">already promoted. If the population of accepted states in a scenario’s chosen</w:t>
      </w:r>
      <w:r>
        <w:t xml:space="preserve"> </w:t>
      </w:r>
      <w:r>
        <w:t xml:space="preserve">observables is modeled as Gaussian with mean μ and covariance Σ, residual information is</w:t>
      </w:r>
    </w:p>
    <w:p>
      <w:pPr>
        <w:pStyle w:val="BlockText"/>
      </w:pPr>
      <w:r>
        <w:t xml:space="preserve">h(x) = ½ (x − μ)ᵀ Σ⁻¹ (x − μ) = ½ d²(x),</w:t>
      </w:r>
    </w:p>
    <w:p>
      <w:pPr>
        <w:pStyle w:val="FirstParagraph"/>
      </w:pPr>
      <w:r>
        <w:t xml:space="preserve">half the squared Mahalanobis distance, and the joint percentile of the CZB ellipse is the</w:t>
      </w:r>
      <w:r>
        <w:t xml:space="preserve"> </w:t>
      </w:r>
      <w:r>
        <w:t xml:space="preserve">χ² probability of d²(x), a monotone function of h. So the</w:t>
      </w:r>
      <w:r>
        <w:t xml:space="preserve"> </w:t>
      </w:r>
      <w:r>
        <w:rPr>
          <w:b/>
          <w:bCs/>
        </w:rPr>
        <w:t xml:space="preserve">CZB ellipse is the surprise</w:t>
      </w:r>
      <w:r>
        <w:rPr>
          <w:b/>
          <w:bCs/>
        </w:rPr>
        <w:t xml:space="preserve"> </w:t>
      </w:r>
      <w:r>
        <w:rPr>
          <w:b/>
          <w:bCs/>
        </w:rPr>
        <w:t xml:space="preserve">family with a population reference</w:t>
      </w:r>
      <w:r>
        <w:t xml:space="preserve">: the operator (residual information) and the</w:t>
      </w:r>
      <w:r>
        <w:t xml:space="preserve"> </w:t>
      </w:r>
      <w:r>
        <w:t xml:space="preserve">per-driver level are shared across scenarios, and only the reference (μ, Σ, and the</w:t>
      </w:r>
      <w:r>
        <w:t xml:space="preserve"> </w:t>
      </w:r>
      <w:r>
        <w:t xml:space="preserve">choice of observables) is per-scenario. That is exactly the division of labor the</w:t>
      </w:r>
      <w:r>
        <w:t xml:space="preserve"> </w:t>
      </w:r>
      <w:r>
        <w:t xml:space="preserve">scope map’s crux asked for, and it gives the ellipse a reading that the multivariate</w:t>
      </w:r>
      <w:r>
        <w:t xml:space="preserve"> </w:t>
      </w:r>
      <w:r>
        <w:t xml:space="preserve">“exceed both percentiles”</w:t>
      </w:r>
      <w:r>
        <w:t xml:space="preserve"> </w:t>
      </w:r>
      <w:r>
        <w:t xml:space="preserve">rule never had: the level set is the set of states equally</w:t>
      </w:r>
      <w:r>
        <w:t xml:space="preserve"> </w:t>
      </w:r>
      <w:r>
        <w:t xml:space="preserve">unusual relative to what drivers accept.</w:t>
      </w:r>
    </w:p>
    <w:p>
      <w:pPr>
        <w:pStyle w:val="BodyText"/>
      </w:pPr>
      <w:r>
        <w:t xml:space="preserve">Two consequences for the ellipse design note (queued as the next design task): the</w:t>
      </w:r>
      <w:r>
        <w:t xml:space="preserve"> </w:t>
      </w:r>
      <w:r>
        <w:t xml:space="preserve">per-scenario observables should be the ones whose population distribution can actually</w:t>
      </w:r>
      <w:r>
        <w:t xml:space="preserve"> </w:t>
      </w:r>
      <w:r>
        <w:t xml:space="preserve">be estimated (from the study cells now, from NDS later), and the Gaussian assumption is</w:t>
      </w:r>
      <w:r>
        <w:t xml:space="preserve"> </w:t>
      </w:r>
      <w:r>
        <w:t xml:space="preserve">a choice that the library does not force, since residual information under a mixture or</w:t>
      </w:r>
      <w:r>
        <w:t xml:space="preserve"> </w:t>
      </w:r>
      <w:r>
        <w:t xml:space="preserve">a particle set is available unchanged if a scenario’s accepted-state distribution is</w:t>
      </w:r>
      <w:r>
        <w:t xml:space="preserve"> </w:t>
      </w:r>
      <w:r>
        <w:t xml:space="preserve">not elliptical.</w:t>
      </w:r>
    </w:p>
    <w:bookmarkEnd w:id="16"/>
    <w:bookmarkStart w:id="17" w:name="X6ca4fe581c9d1a5434d1ebfa255c8495b864102"/>
    <w:p>
      <w:pPr>
        <w:pStyle w:val="Heading2"/>
      </w:pPr>
      <w:r>
        <w:t xml:space="preserve">5 What this implies for positioning, stated as options</w:t>
      </w:r>
    </w:p>
    <w:p>
      <w:pPr>
        <w:pStyle w:val="FirstParagraph"/>
      </w:pPr>
      <w:r>
        <w:t xml:space="preserve">I would not settle the positioning before card Q5.1 has run, but the options can be</w:t>
      </w:r>
      <w:r>
        <w:t xml:space="preserve"> </w:t>
      </w:r>
      <w:r>
        <w:t xml:space="preserve">written down now, and the first sentence of each is true whatever the card shows.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inference supplied a candidate axis, and the axis was falsified.</w:t>
      </w:r>
      <w:r>
        <w:t xml:space="preserve"> </w:t>
      </w:r>
      <w:r>
        <w:t xml:space="preserve">True on</w:t>
      </w:r>
      <w:r>
        <w:t xml:space="preserve"> </w:t>
      </w:r>
      <w:r>
        <w:t xml:space="preserve">the record. The paper is then a comparative study of criticality axes with a</w:t>
      </w:r>
      <w:r>
        <w:t xml:space="preserve"> </w:t>
      </w:r>
      <w:r>
        <w:t xml:space="preserve">psychometric estimator, and the surprise family appears only in the history.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Surprise about the world defines the stimulus onset; a population percentile</w:t>
      </w:r>
      <w:r>
        <w:rPr>
          <w:b/>
          <w:bCs/>
        </w:rPr>
        <w:t xml:space="preserve"> </w:t>
      </w:r>
      <w:r>
        <w:rPr>
          <w:b/>
          <w:bCs/>
        </w:rPr>
        <w:t xml:space="preserve">defines the level.</w:t>
      </w:r>
      <w:r>
        <w:t xml:space="preserve"> </w:t>
      </w:r>
      <w:r>
        <w:t xml:space="preserve">True as a construction; whether it is</w:t>
      </w:r>
      <w:r>
        <w:t xml:space="preserve"> </w:t>
      </w:r>
      <w:r>
        <w:rPr>
          <w:i/>
          <w:iCs/>
        </w:rPr>
        <w:t xml:space="preserve">supported</w:t>
      </w:r>
      <w:r>
        <w:t xml:space="preserve"> </w:t>
      </w:r>
      <w:r>
        <w:t xml:space="preserve">is what Q5.1</w:t>
      </w:r>
      <w:r>
        <w:t xml:space="preserve"> </w:t>
      </w:r>
      <w:r>
        <w:t xml:space="preserve">tests (onset independence from lateral pace on study 2; zero on the overtake by</w:t>
      </w:r>
      <w:r>
        <w:t xml:space="preserve"> </w:t>
      </w:r>
      <w:r>
        <w:t xml:space="preserve">construction). If supported, the surprise family keeps an honest, testable role and</w:t>
      </w:r>
      <w:r>
        <w:t xml:space="preserve"> </w:t>
      </w:r>
      <w:r>
        <w:t xml:space="preserve">the paper can say so without claiming the axis.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Surprise relative to the population is the boundary.</w:t>
      </w:r>
      <w:r>
        <w:t xml:space="preserve"> </w:t>
      </w:r>
      <w:r>
        <w:t xml:space="preserve">True as an identity (§4);</w:t>
      </w:r>
      <w:r>
        <w:t xml:space="preserve"> </w:t>
      </w:r>
      <w:r>
        <w:t xml:space="preserve">its empirical standing is the ellipse program’s, not a separate claim.</w:t>
      </w:r>
    </w:p>
    <w:p>
      <w:pPr>
        <w:pStyle w:val="FirstParagraph"/>
      </w:pPr>
      <w:r>
        <w:t xml:space="preserve">What none of the options can say, in my opinion, is that one scalar does two jobs. That</w:t>
      </w:r>
      <w:r>
        <w:t xml:space="preserve"> </w:t>
      </w:r>
      <w:r>
        <w:t xml:space="preserve">claim is gone with the field, and the two-reference account is the replacement: onset</w:t>
      </w:r>
      <w:r>
        <w:t xml:space="preserve"> </w:t>
      </w:r>
      <w:r>
        <w:t xml:space="preserve">and level are different objects with different references, and they happen to share an</w:t>
      </w:r>
      <w:r>
        <w:t xml:space="preserve"> </w:t>
      </w:r>
      <w:r>
        <w:t xml:space="preserve">operator.</w:t>
      </w:r>
    </w:p>
    <w:bookmarkEnd w:id="17"/>
    <w:bookmarkStart w:id="18" w:name="X5491254ef680e64a284afae1b6bd8abc7bb1726"/>
    <w:p>
      <w:pPr>
        <w:pStyle w:val="Heading2"/>
      </w:pPr>
      <w:r>
        <w:t xml:space="preserve">6 Card Q5.1: world surprise on the data in hand, with no preference function</w:t>
      </w:r>
    </w:p>
    <w:p>
      <w:pPr>
        <w:pStyle w:val="FirstParagraph"/>
      </w:pPr>
      <w:r>
        <w:rPr>
          <w:i/>
          <w:iCs/>
        </w:rPr>
        <w:t xml:space="preserve">For the cheaper tier, after review of this note. Standing rules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docs/czb_work_orders.md</w:t>
      </w:r>
      <w:r>
        <w:rPr>
          <w:i/>
          <w:iCs/>
        </w:rPr>
        <w:t xml:space="preserve"> </w:t>
      </w:r>
      <w:r>
        <w:rPr>
          <w:i/>
          <w:iCs/>
        </w:rPr>
        <w:t xml:space="preserve">§2 apply. Nothing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src/aidriver/preferences.py</w:t>
      </w:r>
      <w:r>
        <w:rPr>
          <w:i/>
          <w:iCs/>
        </w:rPr>
        <w:t xml:space="preserve"> </w:t>
      </w:r>
      <w:r>
        <w:rPr>
          <w:i/>
          <w:iCs/>
        </w:rPr>
        <w:t xml:space="preserve">is touched</w:t>
      </w:r>
      <w:r>
        <w:rPr>
          <w:i/>
          <w:iCs/>
        </w:rPr>
        <w:t xml:space="preserve"> </w:t>
      </w:r>
      <w:r>
        <w:rPr>
          <w:i/>
          <w:iCs/>
        </w:rPr>
        <w:t xml:space="preserve">or called.</w:t>
      </w:r>
    </w:p>
    <w:p>
      <w:pPr>
        <w:pStyle w:val="BodyText"/>
      </w:pPr>
      <w:r>
        <w:rPr>
          <w:b/>
          <w:bCs/>
        </w:rPr>
        <w:t xml:space="preserve">Build.</w:t>
      </w:r>
      <w:r>
        <w:t xml:space="preserve"> </w:t>
      </w:r>
      <w:r>
        <w:rPr>
          <w:rStyle w:val="VerbatimChar"/>
        </w:rPr>
        <w:t xml:space="preserve">replication/czb/world_surprise.py</w:t>
      </w:r>
      <w:r>
        <w:t xml:space="preserve">, importing only</w:t>
      </w:r>
      <w:r>
        <w:t xml:space="preserve"> </w:t>
      </w:r>
      <w:r>
        <w:rPr>
          <w:rStyle w:val="VerbatimChar"/>
        </w:rPr>
        <w:t xml:space="preserve">surprise.*</w:t>
      </w:r>
      <w:r>
        <w:t xml:space="preserve"> </w:t>
      </w:r>
      <w:r>
        <w:t xml:space="preserve">and the</w:t>
      </w:r>
      <w:r>
        <w:t xml:space="preserve"> </w:t>
      </w:r>
      <w:r>
        <w:t xml:space="preserve">trace loaders. For each stimulus trace (study 1’s four scenarios; study 2’s 108 cut-in</w:t>
      </w:r>
      <w:r>
        <w:t xml:space="preserve"> </w:t>
      </w:r>
      <w:r>
        <w:t xml:space="preserve">traces; the 15 CAMP rear-end clips as a check on lead braking), compute at every frame</w:t>
      </w:r>
      <w:r>
        <w:t xml:space="preserve"> </w:t>
      </w:r>
      <w:r>
        <w:t xml:space="preserve">t the other agent’s body-frame position and a constant-velocity Gaussian belief made at</w:t>
      </w:r>
      <w:r>
        <w:t xml:space="preserve"> </w:t>
      </w:r>
      <w:r>
        <w:t xml:space="preserve">t − h about t (probabilistic mismatch, residual information) and about t + z (belief</w:t>
      </w:r>
      <w:r>
        <w:t xml:space="preserve"> </w:t>
      </w:r>
      <w:r>
        <w:t xml:space="preserve">mismatch, antithesis), with σ(k) = σ₀ + σ₁ k Δt on each axis. Report lateral and</w:t>
      </w:r>
      <w:r>
        <w:t xml:space="preserve"> </w:t>
      </w:r>
      <w:r>
        <w:t xml:space="preserve">longitudinal series separately, as the paper does.</w:t>
      </w:r>
    </w:p>
    <w:p>
      <w:pPr>
        <w:pStyle w:val="BodyText"/>
      </w:pPr>
      <w:r>
        <w:rPr>
          <w:b/>
          <w:bCs/>
        </w:rPr>
        <w:t xml:space="preserve">Parameters, each with its motivation.</w:t>
      </w:r>
      <w:r>
        <w:t xml:space="preserve"> </w:t>
      </w:r>
      <w:r>
        <w:t xml:space="preserve">h ∈ {0.5, 1.0, 2.0} s and z ∈ {0, 1, 2} s,</w:t>
      </w:r>
      <w:r>
        <w:t xml:space="preserve"> </w:t>
      </w:r>
      <w:r>
        <w:t xml:space="preserve">swept because the paper reports the h effect as monotone and the z effect as not, and</w:t>
      </w:r>
      <w:r>
        <w:t xml:space="preserve"> </w:t>
      </w:r>
      <w:r>
        <w:t xml:space="preserve">gives no scenario-independent recommendation; σ₀ = 0.1 m on both axes (the traces’</w:t>
      </w:r>
      <w:r>
        <w:t xml:space="preserve"> </w:t>
      </w:r>
      <w:r>
        <w:t xml:space="preserve">positional resolution, from the simulator’s 10 Hz output); σ₁ ∈ {0.5, 1.0, 2.0} m/s, the</w:t>
      </w:r>
      <w:r>
        <w:t xml:space="preserve"> </w:t>
      </w:r>
      <w:r>
        <w:t xml:space="preserve">range over which a constant-velocity extrapolation’s error grows in the</w:t>
      </w:r>
      <w:r>
        <w:t xml:space="preserve"> </w:t>
      </w:r>
      <w:r>
        <w:t xml:space="preserve">trajectory-prediction literature (marked</w:t>
      </w:r>
      <w:r>
        <w:t xml:space="preserve"> </w:t>
      </w:r>
      <w:r>
        <w:rPr>
          <w:i/>
          <w:iCs/>
        </w:rPr>
        <w:t xml:space="preserve">unverified</w:t>
      </w:r>
      <w:r>
        <w:t xml:space="preserve">: I have not checked a source for</w:t>
      </w:r>
      <w:r>
        <w:t xml:space="preserve"> </w:t>
      </w:r>
      <w:r>
        <w:t xml:space="preserve">this range in this session, and the card should either cite one or treat the sweep as</w:t>
      </w:r>
      <w:r>
        <w:t xml:space="preserve"> </w:t>
      </w:r>
      <w:r>
        <w:t xml:space="preserve">the motivation). No parameter is fitted to any response.</w:t>
      </w:r>
    </w:p>
    <w:p>
      <w:pPr>
        <w:pStyle w:val="BodyText"/>
      </w:pPr>
      <w:r>
        <w:rPr>
          <w:b/>
          <w:bCs/>
        </w:rPr>
        <w:t xml:space="preserve">Test 1, onset (the constraint from the review).</w:t>
      </w:r>
      <w:r>
        <w:t xml:space="preserve"> </w:t>
      </w:r>
      <w:r>
        <w:t xml:space="preserve">For every study-2 trace, the first</w:t>
      </w:r>
      <w:r>
        <w:t xml:space="preserve"> </w:t>
      </w:r>
      <w:r>
        <w:t xml:space="preserve">frame at which the lateral belief-mismatch surprise exceeds zero, against the</w:t>
      </w:r>
      <w:r>
        <w:t xml:space="preserve"> </w:t>
      </w:r>
      <w:r>
        <w:t xml:space="preserve">manoeuvre-onset frame from the filename stamps. Pre-stated expectation: the onset lag is</w:t>
      </w:r>
      <w:r>
        <w:t xml:space="preserve"> </w:t>
      </w:r>
      <w:r>
        <w:t xml:space="preserve">within one frame and does not depend on lane-change duration (2, 3, 4 s) at any</w:t>
      </w:r>
      <w:r>
        <w:t xml:space="preserve"> </w:t>
      </w:r>
      <w:r>
        <w:t xml:space="preserve">starting TTC or delta velocity. Report the lag table by (LCD, TTC, DV). A dependence on</w:t>
      </w:r>
      <w:r>
        <w:t xml:space="preserve"> </w:t>
      </w:r>
      <w:r>
        <w:t xml:space="preserve">LCD of more than one frame falsifies the onset claim of §3.2 for this reference.</w:t>
      </w:r>
    </w:p>
    <w:p>
      <w:pPr>
        <w:pStyle w:val="BodyText"/>
      </w:pPr>
      <w:r>
        <w:rPr>
          <w:b/>
          <w:bCs/>
        </w:rPr>
        <w:t xml:space="preserve">Test 2, the overtake is zero by construction.</w:t>
      </w:r>
      <w:r>
        <w:t xml:space="preserve"> </w:t>
      </w:r>
      <w:r>
        <w:t xml:space="preserve">On the three cyclist-overtake traces,</w:t>
      </w:r>
      <w:r>
        <w:t xml:space="preserve"> </w:t>
      </w:r>
      <w:r>
        <w:t xml:space="preserve">the world-surprise series on the cyclist. Pre-stated expectation: identically zero (up to</w:t>
      </w:r>
      <w:r>
        <w:t xml:space="preserve"> </w:t>
      </w:r>
      <w:r>
        <w:t xml:space="preserve">σ₀) at every clearance. This is a check that the derivation of §3.1 holds in the code,</w:t>
      </w:r>
      <w:r>
        <w:t xml:space="preserve"> </w:t>
      </w:r>
      <w:r>
        <w:t xml:space="preserve">not a hypothesis; a nonzero series would mean the cyclist’s motion is not what the</w:t>
      </w:r>
      <w:r>
        <w:t xml:space="preserve"> </w:t>
      </w:r>
      <w:r>
        <w:t xml:space="preserve">context files describe and the derivation must be re-examined.</w:t>
      </w:r>
    </w:p>
    <w:p>
      <w:pPr>
        <w:pStyle w:val="BodyText"/>
      </w:pPr>
      <w:r>
        <w:rPr>
          <w:b/>
          <w:bCs/>
        </w:rPr>
        <w:t xml:space="preserve">Test 3, does surprise carry any axis information beyond gap.</w:t>
      </w:r>
      <w:r>
        <w:t xml:space="preserve"> </w:t>
      </w:r>
      <w:r>
        <w:t xml:space="preserve">On the 288 decisive</w:t>
      </w:r>
      <w:r>
        <w:t xml:space="preserve"> </w:t>
      </w:r>
      <w:r>
        <w:t xml:space="preserve">cells of study 2, a new comparison script (not the registered one, which is not to be</w:t>
      </w:r>
      <w:r>
        <w:t xml:space="preserve"> </w:t>
      </w:r>
      <w:r>
        <w:t xml:space="preserve">modified) with the registered fit, folds and metric, adding two covariates: the running</w:t>
      </w:r>
      <w:r>
        <w:t xml:space="preserve"> </w:t>
      </w:r>
      <w:r>
        <w:t xml:space="preserve">maximum of the longitudinal residual-information surprise over the shown window, and its</w:t>
      </w:r>
      <w:r>
        <w:t xml:space="preserve"> </w:t>
      </w:r>
      <w:r>
        <w:t xml:space="preserve">product with the inverse gap at the window end (the paper’s</w:t>
      </w:r>
      <w:r>
        <w:t xml:space="preserve"> </w:t>
      </w:r>
      <w:r>
        <w:t xml:space="preserve">“surprise and proximity”</w:t>
      </w:r>
      <w:r>
        <w:t xml:space="preserve"> </w:t>
      </w:r>
      <w:r>
        <w:t xml:space="preserve">conflict condition made continuous). Decision rule, stated now: if the surprise-alone</w:t>
      </w:r>
      <w:r>
        <w:t xml:space="preserve"> </w:t>
      </w:r>
      <w:r>
        <w:t xml:space="preserve">covariate’s held-out wRMSE is more than 0.01 above the gap’s 0.152, surprise is not the</w:t>
      </w:r>
      <w:r>
        <w:t xml:space="preserve"> </w:t>
      </w:r>
      <w:r>
        <w:t xml:space="preserve">axis on this data (expected, per §3.1); if the product covariate is within 0.01 of the</w:t>
      </w:r>
      <w:r>
        <w:t xml:space="preserve"> </w:t>
      </w:r>
      <w:r>
        <w:t xml:space="preserve">gap or below it, the two-object account of §3.2 is supported at the level of the axis</w:t>
      </w:r>
      <w:r>
        <w:t xml:space="preserve"> </w:t>
      </w:r>
      <w:r>
        <w:t xml:space="preserve">and should be carried into the ellipse design; if the product is more than 0.01 above the</w:t>
      </w:r>
      <w:r>
        <w:t xml:space="preserve"> </w:t>
      </w:r>
      <w:r>
        <w:t xml:space="preserve">gap, the onset role survives only if Test 1 passed, and surprise contributes nothing to</w:t>
      </w:r>
      <w:r>
        <w:t xml:space="preserve"> </w:t>
      </w:r>
      <w:r>
        <w:t xml:space="preserve">the level.</w:t>
      </w:r>
    </w:p>
    <w:p>
      <w:pPr>
        <w:pStyle w:val="BodyText"/>
      </w:pPr>
      <w:r>
        <w:rPr>
          <w:b/>
          <w:bCs/>
        </w:rPr>
        <w:t xml:space="preserve">Test 4, the CAMP check.</w:t>
      </w:r>
      <w:r>
        <w:t xml:space="preserve"> </w:t>
      </w:r>
      <w:r>
        <w:t xml:space="preserve">On the eight braking-lead clips, the longitudinal surprise</w:t>
      </w:r>
      <w:r>
        <w:t xml:space="preserve"> </w:t>
      </w:r>
      <w:r>
        <w:t xml:space="preserve">onset against the scripted brake onset at simulation time 10 s; on the seven</w:t>
      </w:r>
      <w:r>
        <w:t xml:space="preserve"> </w:t>
      </w:r>
      <w:r>
        <w:t xml:space="preserve">constant-speed clips, the expectation is a flat series. This is the rear-end analogue of</w:t>
      </w:r>
      <w:r>
        <w:t xml:space="preserve"> </w:t>
      </w:r>
      <w:r>
        <w:t xml:space="preserve">Test 1 and the one scenario where the published model’s own home ground and a human</w:t>
      </w:r>
      <w:r>
        <w:t xml:space="preserve"> </w:t>
      </w:r>
      <w:r>
        <w:t xml:space="preserve">press time coexist in our data.</w:t>
      </w:r>
    </w:p>
    <w:p>
      <w:pPr>
        <w:pStyle w:val="BodyText"/>
      </w:pPr>
      <w:r>
        <w:rPr>
          <w:b/>
          <w:bCs/>
        </w:rPr>
        <w:t xml:space="preserve">Output.</w:t>
      </w:r>
      <w:r>
        <w:t xml:space="preserve"> </w:t>
      </w:r>
      <w:r>
        <w:rPr>
          <w:rStyle w:val="VerbatimChar"/>
        </w:rPr>
        <w:t xml:space="preserve">out/world_surprise.md</w:t>
      </w:r>
      <w:r>
        <w:t xml:space="preserve"> </w:t>
      </w:r>
      <w:r>
        <w:t xml:space="preserve">with the four tests, the parameter sweep as tables,</w:t>
      </w:r>
      <w:r>
        <w:t xml:space="preserve"> </w:t>
      </w:r>
      <w:r>
        <w:t xml:space="preserve">one figure per scenario (the series with the onset marked), and the card’s verdicts</w:t>
      </w:r>
      <w:r>
        <w:t xml:space="preserve"> </w:t>
      </w:r>
      <w:r>
        <w:t xml:space="preserve">against the rules above. Suite before and after. Property tests for the predictor (zero</w:t>
      </w:r>
      <w:r>
        <w:t xml:space="preserve"> </w:t>
      </w:r>
      <w:r>
        <w:t xml:space="preserve">surprise on a constant-velocity trace; onset at the first frame of a step in lateral</w:t>
      </w:r>
      <w:r>
        <w:t xml:space="preserve"> </w:t>
      </w:r>
      <w:r>
        <w:t xml:space="preserve">velocity; invariance to the body-frame choice) in</w:t>
      </w:r>
      <w:r>
        <w:t xml:space="preserve"> </w:t>
      </w:r>
      <w:r>
        <w:rPr>
          <w:rStyle w:val="VerbatimChar"/>
        </w:rPr>
        <w:t xml:space="preserve">tests/test_surprise.py</w:t>
      </w:r>
      <w:r>
        <w:t xml:space="preserve">’s style.</w:t>
      </w:r>
    </w:p>
    <w:p>
      <w:pPr>
        <w:pStyle w:val="BodyText"/>
      </w:pPr>
      <w:r>
        <w:rPr>
          <w:b/>
          <w:bCs/>
        </w:rPr>
        <w:t xml:space="preserve">What is deliberately not in the card.</w:t>
      </w:r>
      <w:r>
        <w:t xml:space="preserve"> </w:t>
      </w:r>
      <w:r>
        <w:t xml:space="preserve">Any per-scenario geometry, any preference term,</w:t>
      </w:r>
      <w:r>
        <w:t xml:space="preserve"> </w:t>
      </w:r>
      <w:r>
        <w:t xml:space="preserve">any fit of the predictor to responses, and any claim about LTAP or the truck beyond</w:t>
      </w:r>
      <w:r>
        <w:t xml:space="preserve"> </w:t>
      </w:r>
      <w:r>
        <w:t xml:space="preserve">computing their series for inspection: the LTAP trace loader is B.3.v2’s job and the</w:t>
      </w:r>
      <w:r>
        <w:t xml:space="preserve"> </w:t>
      </w:r>
      <w:r>
        <w:t xml:space="preserve">truck’s B.2’s, and this card should not front-run their construction notes. If the</w:t>
      </w:r>
      <w:r>
        <w:t xml:space="preserve"> </w:t>
      </w:r>
      <w:r>
        <w:t xml:space="preserve">generic loader written for this card is good enough for those scenarios, that is a</w:t>
      </w:r>
      <w:r>
        <w:t xml:space="preserve"> </w:t>
      </w:r>
      <w:r>
        <w:t xml:space="preserve">finding to hand to those cards, not a license to score them here.</w:t>
      </w:r>
    </w:p>
    <w:bookmarkEnd w:id="18"/>
    <w:bookmarkStart w:id="19" w:name="where-i-may-be-wrong"/>
    <w:p>
      <w:pPr>
        <w:pStyle w:val="Heading2"/>
      </w:pPr>
      <w:r>
        <w:t xml:space="preserve">7 Where I may be wrong</w:t>
      </w:r>
    </w:p>
    <w:p>
      <w:pPr>
        <w:pStyle w:val="Compact"/>
        <w:numPr>
          <w:ilvl w:val="0"/>
          <w:numId w:val="1002"/>
        </w:numPr>
      </w:pPr>
      <w:r>
        <w:t xml:space="preserve">The argument of §2 (a free reference makes the operator vacuous) is exact, but it</w:t>
      </w:r>
      <w:r>
        <w:t xml:space="preserve"> </w:t>
      </w:r>
      <w:r>
        <w:t xml:space="preserve">could be read as too dismissive of the</w:t>
      </w:r>
      <w:r>
        <w:t xml:space="preserve"> </w:t>
      </w:r>
      <w:r>
        <w:rPr>
          <w:i/>
          <w:iCs/>
        </w:rPr>
        <w:t xml:space="preserve">practical</w:t>
      </w:r>
      <w:r>
        <w:t xml:space="preserve"> </w:t>
      </w:r>
      <w:r>
        <w:t xml:space="preserve">content the library adds: the zero</w:t>
      </w:r>
      <w:r>
        <w:t xml:space="preserve"> </w:t>
      </w:r>
      <w:r>
        <w:t xml:space="preserve">floor, the parameter-free treatment of densities, and correct handling of mixtures and</w:t>
      </w:r>
      <w:r>
        <w:t xml:space="preserve"> </w:t>
      </w:r>
      <w:r>
        <w:t xml:space="preserve">particle sets. Those are real, and they are why the library is worth keeping</w:t>
      </w:r>
      <w:r>
        <w:t xml:space="preserve"> </w:t>
      </w:r>
      <w:r>
        <w:t xml:space="preserve">regardless of how R2.Q5 is settled. They are not, in my view, scientific claims about</w:t>
      </w:r>
      <w:r>
        <w:t xml:space="preserve"> </w:t>
      </w:r>
      <w:r>
        <w:t xml:space="preserve">drivers.</w:t>
      </w:r>
    </w:p>
    <w:p>
      <w:pPr>
        <w:pStyle w:val="Compact"/>
        <w:numPr>
          <w:ilvl w:val="0"/>
          <w:numId w:val="1002"/>
        </w:numPr>
      </w:pPr>
      <w:r>
        <w:t xml:space="preserve">§3.1’s derivation that world surprise is zero on the overtake assumes the cyclist’s</w:t>
      </w:r>
      <w:r>
        <w:t xml:space="preserve"> </w:t>
      </w:r>
      <w:r>
        <w:t xml:space="preserve">motion is steady in the traces. Test 2 checks this in code before anything is read</w:t>
      </w:r>
      <w:r>
        <w:t xml:space="preserve"> </w:t>
      </w:r>
      <w:r>
        <w:t xml:space="preserve">into it.</w:t>
      </w:r>
    </w:p>
    <w:p>
      <w:pPr>
        <w:pStyle w:val="Compact"/>
        <w:numPr>
          <w:ilvl w:val="0"/>
          <w:numId w:val="1002"/>
        </w:numPr>
      </w:pPr>
      <w:r>
        <w:t xml:space="preserve">The constant-velocity stand-in is the weakest possible reference, and a negative</w:t>
      </w:r>
      <w:r>
        <w:t xml:space="preserve"> </w:t>
      </w:r>
      <w:r>
        <w:t xml:space="preserve">result on Test 3 with it would not rule out a learned predictor; it would only say</w:t>
      </w:r>
      <w:r>
        <w:t xml:space="preserve"> </w:t>
      </w:r>
      <w:r>
        <w:t xml:space="preserve">that</w:t>
      </w:r>
      <w:r>
        <w:t xml:space="preserve"> </w:t>
      </w:r>
      <w:r>
        <w:t xml:space="preserve">“keeps doing what it is doing”</w:t>
      </w:r>
      <w:r>
        <w:t xml:space="preserve"> </w:t>
      </w:r>
      <w:r>
        <w:t xml:space="preserve">carries no axis information beyond gap on this</w:t>
      </w:r>
      <w:r>
        <w:t xml:space="preserve"> </w:t>
      </w:r>
      <w:r>
        <w:t xml:space="preserve">design. A positive result would be the more informative outcome, and I expect the</w:t>
      </w:r>
      <w:r>
        <w:t xml:space="preserve"> </w:t>
      </w:r>
      <w:r>
        <w:t xml:space="preserve">negative one.</w:t>
      </w:r>
    </w:p>
    <w:p>
      <w:pPr>
        <w:pStyle w:val="Compact"/>
        <w:numPr>
          <w:ilvl w:val="0"/>
          <w:numId w:val="1002"/>
        </w:numPr>
      </w:pPr>
      <w:r>
        <w:t xml:space="preserve">The identity in §4 is for a Gaussian population; if a scenario’s accepted-state</w:t>
      </w:r>
      <w:r>
        <w:t xml:space="preserve"> </w:t>
      </w:r>
      <w:r>
        <w:t xml:space="preserve">distribution is strongly non-elliptical the ellipse and the surprise reading part ways,</w:t>
      </w:r>
      <w:r>
        <w:t xml:space="preserve"> </w:t>
      </w:r>
      <w:r>
        <w:t xml:space="preserve">and the surprise reading is the more general of the two.</w:t>
      </w:r>
    </w:p>
    <w:p>
      <w:pPr>
        <w:pStyle w:val="Compact"/>
        <w:numPr>
          <w:ilvl w:val="0"/>
          <w:numId w:val="1002"/>
        </w:numPr>
      </w:pPr>
      <w:r>
        <w:t xml:space="preserve">The onset property of belief-mismatch surprise (§3.2) depends on h and on the</w:t>
      </w:r>
      <w:r>
        <w:t xml:space="preserve"> </w:t>
      </w:r>
      <w:r>
        <w:t xml:space="preserve">predictor’s uncertainty growth; with a very wide σ₁ the onset is delayed, which is</w:t>
      </w:r>
      <w:r>
        <w:t xml:space="preserve"> </w:t>
      </w:r>
      <w:r>
        <w:t xml:space="preserve">why Test 1 sweeps rather than chooses.</w:t>
      </w:r>
    </w:p>
    <w:bookmarkEnd w:id="19"/>
    <w:bookmarkStart w:id="2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Dinparastdjadid, A., Supeene, I., &amp; Engström, J. (2023).</w:t>
      </w:r>
      <w:r>
        <w:t xml:space="preserve"> </w:t>
      </w:r>
      <w:r>
        <w:rPr>
          <w:i/>
          <w:iCs/>
        </w:rPr>
        <w:t xml:space="preserve">Measuring surprise in the</w:t>
      </w:r>
      <w:r>
        <w:rPr>
          <w:i/>
          <w:iCs/>
        </w:rPr>
        <w:t xml:space="preserve"> </w:t>
      </w:r>
      <w:r>
        <w:rPr>
          <w:i/>
          <w:iCs/>
        </w:rPr>
        <w:t xml:space="preserve">wild</w:t>
      </w:r>
      <w:r>
        <w:t xml:space="preserve"> </w:t>
      </w:r>
      <w:r>
        <w:t xml:space="preserve">(arXiv:2305.07733). arXiv. https://arxiv.org/abs/2305.07733 — read from the</w:t>
      </w:r>
      <w:r>
        <w:t xml:space="preserve"> </w:t>
      </w:r>
      <w:r>
        <w:t xml:space="preserve">source PDF by an earlier session; summary in</w:t>
      </w:r>
      <w:r>
        <w:t xml:space="preserve"> </w:t>
      </w:r>
      <w:r>
        <w:rPr>
          <w:rStyle w:val="VerbatimChar"/>
        </w:rPr>
        <w:t xml:space="preserve">notes/01_paper_summaries.md</w:t>
      </w:r>
      <w:r>
        <w:t xml:space="preserve"> </w:t>
      </w:r>
      <w:r>
        <w:t xml:space="preserve">§2.</w:t>
      </w:r>
    </w:p>
    <w:p>
      <w:pPr>
        <w:pStyle w:val="BodyText"/>
      </w:pPr>
      <w:r>
        <w:t xml:space="preserve">Engström, J., Bärgman, J., Nilsson, D., Seppelt, B., Markkula, G., Piccinini, G. B., &amp;</w:t>
      </w:r>
      <w:r>
        <w:t xml:space="preserve"> </w:t>
      </w:r>
      <w:r>
        <w:t xml:space="preserve">Victor, T. (2018). Great expectations: A predictive processing account of automobile</w:t>
      </w:r>
      <w:r>
        <w:t xml:space="preserve"> </w:t>
      </w:r>
      <w:r>
        <w:t xml:space="preserve">driving.</w:t>
      </w:r>
      <w:r>
        <w:t xml:space="preserve"> </w:t>
      </w:r>
      <w:r>
        <w:rPr>
          <w:i/>
          <w:iCs/>
        </w:rPr>
        <w:t xml:space="preserve">Theoretical Issues in Ergonomics Science, 19</w:t>
      </w:r>
      <w:r>
        <w:t xml:space="preserve">(2), 156–194. — as cited in the</w:t>
      </w:r>
      <w:r>
        <w:t xml:space="preserve"> </w:t>
      </w:r>
      <w:r>
        <w:t xml:space="preserve">project’s notes; not re-verified in this session.</w:t>
      </w:r>
    </w:p>
    <w:p>
      <w:pPr>
        <w:pStyle w:val="BodyText"/>
      </w:pPr>
      <w:r>
        <w:t xml:space="preserve">Modirshanechi, A., Brea, J., &amp; Gerstner, W. (2022). A taxonomy of surprise definitions.</w:t>
      </w:r>
      <w:r>
        <w:t xml:space="preserve"> </w:t>
      </w:r>
      <w:r>
        <w:rPr>
          <w:i/>
          <w:iCs/>
        </w:rPr>
        <w:t xml:space="preserve">Journal of Mathematical Psychology, 110</w:t>
      </w:r>
      <w:r>
        <w:t xml:space="preserve">, Article 102712.</w:t>
      </w:r>
      <w:r>
        <w:t xml:space="preserve"> </w:t>
      </w:r>
      <w:r>
        <w:t xml:space="preserve">https://doi.org/10.1016/j.jmp.2022.102712 — verified in earlier project documents.</w:t>
      </w:r>
    </w:p>
    <w:p>
      <w:pPr>
        <w:pStyle w:val="BodyText"/>
      </w:pPr>
      <w:r>
        <w:t xml:space="preserve">Schumann, J. F., Engström, J., Johnson, A., O’Kelly, M., Messias, J., Kober, J., &amp;</w:t>
      </w:r>
      <w:r>
        <w:t xml:space="preserve"> </w:t>
      </w:r>
      <w:r>
        <w:t xml:space="preserve">Zgonnikov, A. (2026). Active inference as a model of collision avoidance behavior in</w:t>
      </w:r>
      <w:r>
        <w:t xml:space="preserve"> </w:t>
      </w:r>
      <w:r>
        <w:t xml:space="preserve">human drivers.</w:t>
      </w:r>
      <w:r>
        <w:t xml:space="preserve"> </w:t>
      </w:r>
      <w:r>
        <w:rPr>
          <w:i/>
          <w:iCs/>
        </w:rPr>
        <w:t xml:space="preserve">Nature Communications, 17</w:t>
      </w:r>
      <w:r>
        <w:t xml:space="preserve">, Article 5009.</w:t>
      </w:r>
      <w:r>
        <w:t xml:space="preserve"> </w:t>
      </w:r>
      <w:r>
        <w:t xml:space="preserve">https://doi.org/10.1038/s41467-026-73345-0 — the replicated paper.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2026-09-02T09:15:48Z</dcterms:created>
  <dcterms:modified xsi:type="dcterms:W3CDTF">2026-09-02T09:15:48Z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