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89fa0604587d0bc10a19fcff607b57745547596"/>
    <w:p>
      <w:pPr>
        <w:pStyle w:val="Heading1"/>
      </w:pPr>
      <w:r>
        <w:t xml:space="preserve">Perceptual uncertainty, the distance–time anomaly, and the missing lateral term</w:t>
      </w:r>
    </w:p>
    <w:p>
      <w:pPr>
        <w:pStyle w:val="FirstParagraph"/>
      </w:pPr>
      <w:r>
        <w:rPr>
          <w:i/>
          <w:iCs/>
        </w:rPr>
        <w:t xml:space="preserve">2026-08-28. Written after two findings that the current field cannot explain — the</w:t>
      </w:r>
      <w:r>
        <w:rPr>
          <w:i/>
          <w:iCs/>
        </w:rPr>
        <w:t xml:space="preserve"> </w:t>
      </w:r>
      <w:r>
        <w:rPr>
          <w:i/>
          <w:iCs/>
        </w:rPr>
        <w:t xml:space="preserve">LTAP speed effect at matched PET, and the cyclist overtake’s lateral criticality — and</w:t>
      </w:r>
      <w:r>
        <w:rPr>
          <w:i/>
          <w:iCs/>
        </w:rPr>
        <w:t xml:space="preserve"> </w:t>
      </w:r>
      <w:r>
        <w:rPr>
          <w:i/>
          <w:iCs/>
        </w:rPr>
        <w:t xml:space="preserve">after reading five papers Jonas pointed toward or that the search turned up. The claim</w:t>
      </w:r>
      <w:r>
        <w:rPr>
          <w:i/>
          <w:iCs/>
        </w:rPr>
        <w:t xml:space="preserve"> </w:t>
      </w:r>
      <w:r>
        <w:rPr>
          <w:i/>
          <w:iCs/>
        </w:rPr>
        <w:t xml:space="preserve">of this note is that these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 problem, not two</w:t>
      </w:r>
      <w:r>
        <w:rPr>
          <w:i/>
          <w:iCs/>
        </w:rPr>
        <w:t xml:space="preserve">, and that the fix is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native to active inference. Companion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docs/overtake_construction_note.md</w:t>
      </w:r>
      <w:r>
        <w:rPr>
          <w:i/>
          <w:iCs/>
        </w:rPr>
        <w:t xml:space="preserve"> </w:t>
      </w:r>
      <w:r>
        <w:rPr>
          <w:i/>
          <w:iCs/>
        </w:rPr>
        <w:t xml:space="preserve">(where both findings came from),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docs/lane_entry_note.md</w:t>
      </w:r>
      <w:r>
        <w:rPr>
          <w:i/>
          <w:iCs/>
        </w:rPr>
        <w:t xml:space="preserve"> </w:t>
      </w:r>
      <w:r>
        <w:rPr>
          <w:i/>
          <w:iCs/>
        </w:rPr>
        <w:t xml:space="preserve">(the lateral machinery as it</w:t>
      </w:r>
      <w:r>
        <w:rPr>
          <w:i/>
          <w:iCs/>
        </w:rPr>
        <w:t xml:space="preserve"> </w:t>
      </w:r>
      <w:r>
        <w:rPr>
          <w:i/>
          <w:iCs/>
        </w:rPr>
        <w:t xml:space="preserve">stands),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docs/active_inference_for_czb_assessment.md</w:t>
      </w:r>
      <w:r>
        <w:rPr>
          <w:i/>
          <w:iCs/>
        </w:rPr>
        <w:t xml:space="preserve"> </w:t>
      </w:r>
      <w:r>
        <w:rPr>
          <w:i/>
          <w:iCs/>
        </w:rPr>
        <w:t xml:space="preserve">(the framework argument).</w:t>
      </w:r>
    </w:p>
    <w:bookmarkStart w:id="9" w:name="Xeb4157405fbeea44f6e7c027a179ee9a2717650"/>
    <w:p>
      <w:pPr>
        <w:pStyle w:val="Heading2"/>
      </w:pPr>
      <w:r>
        <w:t xml:space="preserve">1 The two things the field cannot currently do</w:t>
      </w:r>
    </w:p>
    <w:p>
      <w:pPr>
        <w:pStyle w:val="FirstParagraph"/>
      </w:pPr>
      <w:r>
        <w:rPr>
          <w:b/>
          <w:bCs/>
        </w:rPr>
        <w:t xml:space="preserve">The LTAP speed effect.</w:t>
      </w:r>
      <w:r>
        <w:t xml:space="preserve"> </w:t>
      </w:r>
      <w:r>
        <w:t xml:space="preserve">In the Random LTAP design, intervention is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at 70 km/h</w:t>
      </w:r>
      <w:r>
        <w:t xml:space="preserve"> </w:t>
      </w:r>
      <w:r>
        <w:t xml:space="preserve">than at 50 km/h at every one of the nine PET levels (at PET2: 0.360 against 0.605). PET</w:t>
      </w:r>
      <w:r>
        <w:t xml:space="preserve"> </w:t>
      </w:r>
      <w:r>
        <w:t xml:space="preserve">is a pure time measure, so at matched PET the higher speed simply means a larger distance</w:t>
      </w:r>
      <w:r>
        <w:t xml:space="preserve"> </w:t>
      </w:r>
      <w:r>
        <w:t xml:space="preserve">gap. Our field is built from time-like quantities — inverse tau, TTC, required</w:t>
      </w:r>
      <w:r>
        <w:t xml:space="preserve"> </w:t>
      </w:r>
      <w:r>
        <w:t xml:space="preserve">deceleration — and at matched PET those are close to identical between the two speeds.</w:t>
      </w:r>
      <w:r>
        <w:t xml:space="preserve"> </w:t>
      </w:r>
      <w:r>
        <w:t xml:space="preserve">The field therefore predicts almost no speed effect, and a large one is there.</w:t>
      </w:r>
    </w:p>
    <w:p>
      <w:pPr>
        <w:pStyle w:val="BodyText"/>
      </w:pPr>
      <w:r>
        <w:rPr>
          <w:b/>
          <w:bCs/>
        </w:rPr>
        <w:t xml:space="preserve">The cyclist-overtake lateral effect.</w:t>
      </w:r>
      <w:r>
        <w:t xml:space="preserve"> </w:t>
      </w:r>
      <w:r>
        <w:t xml:space="preserve">Passing a cyclist at 0.5 m rather than 1.5 m</w:t>
      </w:r>
      <w:r>
        <w:t xml:space="preserve"> </w:t>
      </w:r>
      <w:r>
        <w:t xml:space="preserve">roughly quadruples the intervention rate, while in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conditions the pass is</w:t>
      </w:r>
      <w:r>
        <w:t xml:space="preserve"> </w:t>
      </w:r>
      <w:r>
        <w:t xml:space="preserve">collision-free. The field’s lateral machinery only asks whether a collision geometry</w:t>
      </w:r>
      <w:r>
        <w:t xml:space="preserve"> </w:t>
      </w:r>
      <w:r>
        <w:t xml:space="preserve">applies; it answers</w:t>
      </w:r>
      <w:r>
        <w:t xml:space="preserve"> </w:t>
      </w:r>
      <w:r>
        <w:t xml:space="preserve">“yes, fully”</w:t>
      </w:r>
      <w:r>
        <w:t xml:space="preserve"> </w:t>
      </w:r>
      <w:r>
        <w:t xml:space="preserve">throughout, and so cannot see the manipulation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overtake_construction_note.md</w:t>
      </w:r>
      <w:r>
        <w:t xml:space="preserve"> </w:t>
      </w:r>
      <w:r>
        <w:t xml:space="preserve">§4).</w:t>
      </w:r>
    </w:p>
    <w:p>
      <w:pPr>
        <w:pStyle w:val="BodyText"/>
      </w:pPr>
      <w:r>
        <w:t xml:space="preserve">These look unrelated. Section 5 argues they are the same missing ingredient.</w:t>
      </w:r>
    </w:p>
    <w:bookmarkEnd w:id="9"/>
    <w:bookmarkStart w:id="10" w:name="X20a709f1e1a1ce60b10333b86f1c2b75ca825b5"/>
    <w:p>
      <w:pPr>
        <w:pStyle w:val="Heading2"/>
      </w:pPr>
      <w:r>
        <w:t xml:space="preserve">2 What the literature says about the distance–time anomaly</w:t>
      </w:r>
    </w:p>
    <w:p>
      <w:pPr>
        <w:pStyle w:val="FirstParagraph"/>
      </w:pPr>
      <w:r>
        <w:rPr>
          <w:b/>
          <w:bCs/>
        </w:rPr>
        <w:t xml:space="preserve">Zgonnikov, Abbink and Markkula (2024)</w:t>
      </w:r>
      <w:r>
        <w:t xml:space="preserve"> </w:t>
      </w:r>
      <w:r>
        <w:t xml:space="preserve">modelled left-turn gap acceptance — our LTAP</w:t>
      </w:r>
      <w:r>
        <w:t xml:space="preserve"> </w:t>
      </w:r>
      <w:r>
        <w:t xml:space="preserve">scenario — with a generalized drift-diffusion model, and found that the probability of</w:t>
      </w:r>
      <w:r>
        <w:t xml:space="preserve"> </w:t>
      </w:r>
      <w:r>
        <w:t xml:space="preserve">going increases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time-to-arrival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distance gap. Their model needs a</w:t>
      </w:r>
      <w:r>
        <w:t xml:space="preserve"> </w:t>
      </w:r>
      <w:r>
        <w:rPr>
          <w:i/>
          <w:iCs/>
        </w:rPr>
        <w:t xml:space="preserve">generalized gap measure</w:t>
      </w:r>
      <w:r>
        <w:t xml:space="preserve"> </w:t>
      </w:r>
      <w:r>
        <w:t xml:space="preserve">combining the two; pure time-to-arrival does not suffice.</w:t>
      </w:r>
      <w:r>
        <w:t xml:space="preserve"> </w:t>
      </w:r>
      <w:r>
        <w:t xml:space="preserve">Response time increased with time-to-arrival, and there was an additional effect of</w:t>
      </w:r>
      <w:r>
        <w:t xml:space="preserve"> </w:t>
      </w:r>
      <w:r>
        <w:t xml:space="preserve">distance on</w:t>
      </w:r>
      <w:r>
        <w:t xml:space="preserve"> </w:t>
      </w:r>
      <w:r>
        <w:t xml:space="preserve">“wait”</w:t>
      </w:r>
      <w:r>
        <w:t xml:space="preserve"> </w:t>
      </w:r>
      <w:r>
        <w:t xml:space="preserve">responses. So the phenomenon we observe is documented, in our</w:t>
      </w:r>
      <w:r>
        <w:t xml:space="preserve"> </w:t>
      </w:r>
      <w:r>
        <w:t xml:space="preserve">scenario, by this group.</w:t>
      </w:r>
    </w:p>
    <w:p>
      <w:pPr>
        <w:pStyle w:val="BodyText"/>
      </w:pPr>
      <w:r>
        <w:rPr>
          <w:b/>
          <w:bCs/>
        </w:rPr>
        <w:t xml:space="preserve">Wang, Srinivasan, Jokinen, Oulasvirta and Markkula (2024)</w:t>
      </w:r>
      <w:r>
        <w:t xml:space="preserve"> </w:t>
      </w:r>
      <w:r>
        <w:t xml:space="preserve">supply the mechanism Jonas</w:t>
      </w:r>
      <w:r>
        <w:t xml:space="preserve"> </w:t>
      </w:r>
      <w:r>
        <w:t xml:space="preserve">remembered, in the pedestrian-crossing version of the same problem. Their model is</w:t>
      </w:r>
      <w:r>
        <w:t xml:space="preserve"> </w:t>
      </w:r>
      <w:r>
        <w:t xml:space="preserve">bounded-optimal decision-making under</w:t>
      </w:r>
      <w:r>
        <w:t xml:space="preserve"> </w:t>
      </w:r>
      <w:r>
        <w:rPr>
          <w:i/>
          <w:iCs/>
        </w:rPr>
        <w:t xml:space="preserve">noisy visual perception</w:t>
      </w:r>
      <w:r>
        <w:t xml:space="preserve">: the agent estimates</w:t>
      </w:r>
      <w:r>
        <w:t xml:space="preserve"> </w:t>
      </w:r>
      <w:r>
        <w:t xml:space="preserve">distance and speed through a visual system whose angular noise translates into</w:t>
      </w:r>
      <w:r>
        <w:t xml:space="preserve"> </w:t>
      </w:r>
      <w:r>
        <w:t xml:space="preserve">distance-dependent uncertainty, so estimates of time-to-arrival become more dispersed in</w:t>
      </w:r>
      <w:r>
        <w:t xml:space="preserve"> </w:t>
      </w:r>
      <w:r>
        <w:t xml:space="preserve">some conditions than others. Because the cost of a misjudgement is asymmetric, the</w:t>
      </w:r>
      <w:r>
        <w:t xml:space="preserve"> </w:t>
      </w:r>
      <w:r>
        <w:t xml:space="preserve">rational response to a noisier estimate is a more conservative decision. Their model</w:t>
      </w:r>
      <w:r>
        <w:t xml:space="preserve"> </w:t>
      </w:r>
      <w:r>
        <w:t xml:space="preserve">reproduces four phenomena, of which the second is exactly ours:</w:t>
      </w:r>
      <w:r>
        <w:t xml:space="preserve"> </w:t>
      </w:r>
      <w:r>
        <w:rPr>
          <w:b/>
          <w:bCs/>
        </w:rPr>
        <w:t xml:space="preserve">greater gap acceptance</w:t>
      </w:r>
      <w:r>
        <w:rPr>
          <w:b/>
          <w:bCs/>
        </w:rPr>
        <w:t xml:space="preserve"> </w:t>
      </w:r>
      <w:r>
        <w:rPr>
          <w:b/>
          <w:bCs/>
        </w:rPr>
        <w:t xml:space="preserve">at higher speed for the same time-to-arrival</w:t>
      </w:r>
      <w:r>
        <w:t xml:space="preserve">. Their framing is worth quoting for the</w:t>
      </w:r>
      <w:r>
        <w:t xml:space="preserve"> </w:t>
      </w:r>
      <w:r>
        <w:t xml:space="preserve">project’s own argument: on this account speed-dependent gap acceptance</w:t>
      </w:r>
      <w:r>
        <w:t xml:space="preserve"> </w:t>
      </w:r>
      <w:r>
        <w:t xml:space="preserve">“is an entirely</w:t>
      </w:r>
      <w:r>
        <w:t xml:space="preserve"> </w:t>
      </w:r>
      <w:r>
        <w:t xml:space="preserve">rational behaviour”</w:t>
      </w:r>
      <w:r>
        <w:t xml:space="preserve"> </w:t>
      </w:r>
      <w:r>
        <w:t xml:space="preserve">given the visual system’s constraints, not a bias to be corrected.</w:t>
      </w:r>
    </w:p>
    <w:p>
      <w:pPr>
        <w:pStyle w:val="BodyText"/>
      </w:pPr>
      <w:r>
        <w:rPr>
          <w:b/>
          <w:bCs/>
        </w:rPr>
        <w:t xml:space="preserve">Mohammad, Farah and Zgonnikov</w:t>
      </w:r>
      <w:r>
        <w:t xml:space="preserve"> </w:t>
      </w:r>
      <w:r>
        <w:t xml:space="preserve">(overtaking gap acceptance) tried the same family on a</w:t>
      </w:r>
      <w:r>
        <w:t xml:space="preserve"> </w:t>
      </w:r>
      <w:r>
        <w:t xml:space="preserve">third scenario and concluded that the model needs an</w:t>
      </w:r>
      <w:r>
        <w:t xml:space="preserve"> </w:t>
      </w:r>
      <w:r>
        <w:rPr>
          <w:b/>
          <w:bCs/>
        </w:rPr>
        <w:t xml:space="preserve">initial decision bias that depends</w:t>
      </w:r>
      <w:r>
        <w:rPr>
          <w:b/>
          <w:bCs/>
        </w:rPr>
        <w:t xml:space="preserve"> </w:t>
      </w:r>
      <w:r>
        <w:rPr>
          <w:b/>
          <w:bCs/>
        </w:rPr>
        <w:t xml:space="preserve">on the initial velocity</w:t>
      </w:r>
      <w:r>
        <w:t xml:space="preserve"> </w:t>
      </w:r>
      <w:r>
        <w:t xml:space="preserve">— a speed-dependent starting point, rather than a speed-</w:t>
      </w:r>
      <w:r>
        <w:t xml:space="preserve"> </w:t>
      </w:r>
      <w:r>
        <w:t xml:space="preserve">dependent drift or boundary. That is a third independent report that a speed or distance</w:t>
      </w:r>
      <w:r>
        <w:t xml:space="preserve"> </w:t>
      </w:r>
      <w:r>
        <w:t xml:space="preserve">term has to enter</w:t>
      </w:r>
      <w:r>
        <w:t xml:space="preserve"> </w:t>
      </w:r>
      <w:r>
        <w:rPr>
          <w:i/>
          <w:iCs/>
        </w:rPr>
        <w:t xml:space="preserve">somewhere</w:t>
      </w:r>
      <w:r>
        <w:t xml:space="preserve"> </w:t>
      </w:r>
      <w:r>
        <w:t xml:space="preserve">beyond the time-to-collision variable, and it is a useful</w:t>
      </w:r>
      <w:r>
        <w:t xml:space="preserve"> </w:t>
      </w:r>
      <w:r>
        <w:t xml:space="preserve">warning that where it enters is not obvious: the same qualitative effect can be produced</w:t>
      </w:r>
      <w:r>
        <w:t xml:space="preserve"> </w:t>
      </w:r>
      <w:r>
        <w:t xml:space="preserve">by a starting bias, a drift term, or a boundary.</w:t>
      </w:r>
    </w:p>
    <w:p>
      <w:pPr>
        <w:pStyle w:val="BodyText"/>
      </w:pPr>
      <w:r>
        <w:rPr>
          <w:b/>
          <w:bCs/>
        </w:rPr>
        <w:t xml:space="preserve">Bontje, van Waveren, van Maanen, Nallapu, Markkula and Zgonnikov (2026)</w:t>
      </w:r>
      <w:r>
        <w:t xml:space="preserve"> </w:t>
      </w:r>
      <w:r>
        <w:t xml:space="preserve">is a</w:t>
      </w:r>
      <w:r>
        <w:t xml:space="preserve"> </w:t>
      </w:r>
      <w:r>
        <w:t xml:space="preserve">semi-systematic review of 28 evidence-accumulation studies in traffic (2014–2026). Two</w:t>
      </w:r>
      <w:r>
        <w:t xml:space="preserve"> </w:t>
      </w:r>
      <w:r>
        <w:t xml:space="preserve">things in it bear on us directly. It confirms that in driving applications the drift is</w:t>
      </w:r>
      <w:r>
        <w:t xml:space="preserve"> </w:t>
      </w:r>
      <w:r>
        <w:t xml:space="preserve">conventionally driven by</w:t>
      </w:r>
      <w:r>
        <w:t xml:space="preserve"> </w:t>
      </w:r>
      <w:r>
        <w:rPr>
          <w:b/>
          <w:bCs/>
        </w:rPr>
        <w:t xml:space="preserve">looming (optical expansion) or TTC</w:t>
      </w:r>
      <w:r>
        <w:t xml:space="preserve"> </w:t>
      </w:r>
      <w:r>
        <w:t xml:space="preserve">— not, as in our card A.3</w:t>
      </w:r>
      <w:r>
        <w:t xml:space="preserve"> </w:t>
      </w:r>
      <w:r>
        <w:t xml:space="preserve">accumulator, by a comfort-zone deficit; and it lists</w:t>
      </w:r>
      <w:r>
        <w:t xml:space="preserve"> </w:t>
      </w:r>
      <w:r>
        <w:rPr>
          <w:b/>
          <w:bCs/>
        </w:rPr>
        <w:t xml:space="preserve">leaky accumulation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urgency/collapsing boundaries</w:t>
      </w:r>
      <w:r>
        <w:t xml:space="preserve"> </w:t>
      </w:r>
      <w:r>
        <w:t xml:space="preserve">as the standard architectures for exactly the failure</w:t>
      </w:r>
      <w:r>
        <w:t xml:space="preserve"> </w:t>
      </w:r>
      <w:r>
        <w:t xml:space="preserve">modes we hit. Our A.3 accumulator used none of these. That does not overturn the FAIL —</w:t>
      </w:r>
      <w:r>
        <w:t xml:space="preserve"> </w:t>
      </w:r>
      <w:r>
        <w:t xml:space="preserve">which was pre-registered and stands — but it does say the FAIL was of one specific</w:t>
      </w:r>
      <w:r>
        <w:t xml:space="preserve"> </w:t>
      </w:r>
      <w:r>
        <w:t xml:space="preserve">accumulator, not of the accumulator family, and the reserve remedy we held back (leaky</w:t>
      </w:r>
      <w:r>
        <w:t xml:space="preserve"> </w:t>
      </w:r>
      <w:r>
        <w:t xml:space="preserve">accumulation) is the field’s standard first move.</w:t>
      </w:r>
    </w:p>
    <w:bookmarkEnd w:id="10"/>
    <w:bookmarkStart w:id="11" w:name="X2ff14a9a2068774223303ed95cdfe10dabe5a6c"/>
    <w:p>
      <w:pPr>
        <w:pStyle w:val="Heading2"/>
      </w:pPr>
      <w:r>
        <w:t xml:space="preserve">3 What the literature offers for the lateral problem</w:t>
      </w:r>
    </w:p>
    <w:p>
      <w:pPr>
        <w:pStyle w:val="FirstParagraph"/>
      </w:pPr>
      <w:r>
        <w:rPr>
          <w:b/>
          <w:bCs/>
        </w:rPr>
        <w:t xml:space="preserve">Kolekar, de Winter and Abbink (2020)</w:t>
      </w:r>
      <w:r>
        <w:t xml:space="preserve"> </w:t>
      </w:r>
      <w:r>
        <w:t xml:space="preserve">propose the</w:t>
      </w:r>
      <w:r>
        <w:t xml:space="preserve"> </w:t>
      </w:r>
      <w:r>
        <w:rPr>
          <w:b/>
          <w:bCs/>
        </w:rPr>
        <w:t xml:space="preserve">Driver’s Risk Field</w:t>
      </w:r>
      <w:r>
        <w:t xml:space="preserve"> </w:t>
      </w:r>
      <w:r>
        <w:t xml:space="preserve">(DRF), and it</w:t>
      </w:r>
      <w:r>
        <w:t xml:space="preserve"> </w:t>
      </w:r>
      <w:r>
        <w:t xml:space="preserve">is close enough to our construction to be worth taking seriously as a donor rather than a</w:t>
      </w:r>
      <w:r>
        <w:t xml:space="preserve"> </w:t>
      </w:r>
      <w:r>
        <w:t xml:space="preserve">rival. The DRF is a two-dimensional field around the car representing the driver’s belief</w:t>
      </w:r>
      <w:r>
        <w:t xml:space="preserve"> </w:t>
      </w:r>
      <w:r>
        <w:t xml:space="preserve">about the probability of an event at each point; multiplied by the</w:t>
      </w:r>
      <w:r>
        <w:t xml:space="preserve"> </w:t>
      </w:r>
      <w:r>
        <w:rPr>
          <w:i/>
          <w:iCs/>
        </w:rPr>
        <w:t xml:space="preserve">consequence</w:t>
      </w:r>
      <w:r>
        <w:t xml:space="preserve"> </w:t>
      </w:r>
      <w:r>
        <w:t xml:space="preserve">assigned</w:t>
      </w:r>
      <w:r>
        <w:t xml:space="preserve"> </w:t>
      </w:r>
      <w:r>
        <w:t xml:space="preserve">to what is at that point and summed, it gives a scalar perceived risk. Human-like</w:t>
      </w:r>
      <w:r>
        <w:t xml:space="preserve"> </w:t>
      </w:r>
      <w:r>
        <w:t xml:space="preserve">behaviour then emerges from a controller that</w:t>
      </w:r>
      <w:r>
        <w:t xml:space="preserve"> </w:t>
      </w:r>
      <w:r>
        <w:rPr>
          <w:b/>
          <w:bCs/>
        </w:rPr>
        <w:t xml:space="preserve">keeps that scalar below a threshold</w:t>
      </w:r>
      <w:r>
        <w:t xml:space="preserve">.</w:t>
      </w:r>
    </w:p>
    <w:p>
      <w:pPr>
        <w:pStyle w:val="BodyText"/>
      </w:pPr>
      <w:r>
        <w:t xml:space="preserve">Two features matter for us. First, the shape: the field is a torus with a Gaussian</w:t>
      </w:r>
      <w:r>
        <w:t xml:space="preserve"> </w:t>
      </w:r>
      <w:r>
        <w:t xml:space="preserve">cross-section along the predicted path, whose height grows as a parabola out to a</w:t>
      </w:r>
      <w:r>
        <w:t xml:space="preserve"> </w:t>
      </w:r>
      <w:r>
        <w:t xml:space="preserve">look-ahead distance that scales with speed, and whose</w:t>
      </w:r>
      <w:r>
        <w:t xml:space="preserve"> </w:t>
      </w:r>
      <w:r>
        <w:rPr>
          <w:b/>
          <w:bCs/>
        </w:rPr>
        <w:t xml:space="preserve">width grows with arc length and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absolute steering angle</w:t>
      </w:r>
      <w:r>
        <w:t xml:space="preserve"> </w:t>
      </w:r>
      <w:r>
        <w:t xml:space="preserve">— the latter justified as signal-dependent noise in the</w:t>
      </w:r>
      <w:r>
        <w:t xml:space="preserve"> </w:t>
      </w:r>
      <w:r>
        <w:t xml:space="preserve">sensorimotor system. Width at the vehicle is set to car-width/4, so ±2σ spans the car.</w:t>
      </w:r>
      <w:r>
        <w:t xml:space="preserve"> </w:t>
      </w:r>
      <w:r>
        <w:t xml:space="preserve">Second, the standing: it is parameterized by six constants (p, t_la, m, c, k1, k2) that</w:t>
      </w:r>
      <w:r>
        <w:t xml:space="preserve"> </w:t>
      </w:r>
      <w:r>
        <w:t xml:space="preserve">depend only on the driver’s state and not on the environment, and it was shown to</w:t>
      </w:r>
      <w:r>
        <w:t xml:space="preserve"> </w:t>
      </w:r>
      <w:r>
        <w:t xml:space="preserve">reproduce behaviour across seven scenarios including obstacle avoidance, car-following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overtaking</w:t>
      </w:r>
      <w:r>
        <w:t xml:space="preserve"> </w:t>
      </w:r>
      <w:r>
        <w:t xml:space="preserve">— the two scenarios we are currently failing to unify.</w:t>
      </w:r>
    </w:p>
    <w:p>
      <w:pPr>
        <w:pStyle w:val="BodyText"/>
      </w:pPr>
      <w:r>
        <w:t xml:space="preserve">The structural point:</w:t>
      </w:r>
      <w:r>
        <w:t xml:space="preserve"> </w:t>
      </w:r>
      <w:r>
        <w:t xml:space="preserve">“keep a scalar risk below a threshold”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comfort-zone boundary</w:t>
      </w:r>
      <w:r>
        <w:t xml:space="preserve"> </w:t>
      </w:r>
      <w:r>
        <w:t xml:space="preserve">on a scalar, which is our claim exactly. The DRF is, in effect, an independently</w:t>
      </w:r>
      <w:r>
        <w:t xml:space="preserve"> </w:t>
      </w:r>
      <w:r>
        <w:t xml:space="preserve">validated instance of the framing this project is testing — with the lateral dimension</w:t>
      </w:r>
      <w:r>
        <w:t xml:space="preserve"> </w:t>
      </w:r>
      <w:r>
        <w:t xml:space="preserve">already built in, and validated on overtaking.</w:t>
      </w:r>
    </w:p>
    <w:bookmarkEnd w:id="11"/>
    <w:bookmarkStart w:id="12" w:name="why-our-field-lacks-both-structurally"/>
    <w:p>
      <w:pPr>
        <w:pStyle w:val="Heading2"/>
      </w:pPr>
      <w:r>
        <w:t xml:space="preserve">4 Why our field lacks both, structurally</w:t>
      </w:r>
    </w:p>
    <w:p>
      <w:pPr>
        <w:pStyle w:val="FirstParagraph"/>
      </w:pPr>
      <w:r>
        <w:t xml:space="preserve">Our preference field evaluates the deficit</w:t>
      </w:r>
      <w:r>
        <w:t xml:space="preserve"> </w:t>
      </w:r>
      <w:r>
        <w:rPr>
          <w:b/>
          <w:bCs/>
        </w:rPr>
        <w:t xml:space="preserve">along a single predicted trajectory</w:t>
      </w:r>
      <w:r>
        <w:t xml:space="preserve">: the</w:t>
      </w:r>
      <w:r>
        <w:t xml:space="preserve"> </w:t>
      </w:r>
      <w:r>
        <w:t xml:space="preserve">ego’s actual motion, with the other vehicle’s motion projected forward. Everything is a</w:t>
      </w:r>
      <w:r>
        <w:t xml:space="preserve"> </w:t>
      </w:r>
      <w:r>
        <w:t xml:space="preserve">point estimate. The lane-entry weight is the one place where a distribution appears, and</w:t>
      </w:r>
      <w:r>
        <w:t xml:space="preserve"> </w:t>
      </w:r>
      <w:r>
        <w:t xml:space="preserve">even there the</w:t>
      </w:r>
      <w:r>
        <w:t xml:space="preserve"> </w:t>
      </w:r>
      <w:r>
        <w:t xml:space="preserve">“overlap fraction”</w:t>
      </w:r>
      <w:r>
        <w:t xml:space="preserve"> </w:t>
      </w:r>
      <w:r>
        <w:t xml:space="preserve">is a geometric overlap of two rigid width intervals, not</w:t>
      </w:r>
      <w:r>
        <w:t xml:space="preserve"> </w:t>
      </w:r>
      <w:r>
        <w:t xml:space="preserve">a probability.</w:t>
      </w:r>
    </w:p>
    <w:p>
      <w:pPr>
        <w:pStyle w:val="BodyText"/>
      </w:pPr>
      <w:r>
        <w:t xml:space="preserve">A point-estimate field has two unavoidable consequences, and they are precisely our two</w:t>
      </w:r>
      <w:r>
        <w:t xml:space="preserve"> </w:t>
      </w:r>
      <w:r>
        <w:t xml:space="preserve">failures. It cannot express that a</w:t>
      </w:r>
      <w:r>
        <w:t xml:space="preserve"> </w:t>
      </w:r>
      <w:r>
        <w:rPr>
          <w:i/>
          <w:iCs/>
        </w:rPr>
        <w:t xml:space="preserve">clear</w:t>
      </w:r>
      <w:r>
        <w:t xml:space="preserve"> </w:t>
      </w:r>
      <w:r>
        <w:t xml:space="preserve">pass is uncomfortable, because on the predicted</w:t>
      </w:r>
      <w:r>
        <w:t xml:space="preserve"> </w:t>
      </w:r>
      <w:r>
        <w:t xml:space="preserve">trajectory nothing happens — you need probability mass off the predicted path for a 0.5 m</w:t>
      </w:r>
      <w:r>
        <w:t xml:space="preserve"> </w:t>
      </w:r>
      <w:r>
        <w:t xml:space="preserve">clearance to cost more than a 1.5 m one. And it cannot express that a distant vehicle is</w:t>
      </w:r>
      <w:r>
        <w:t xml:space="preserve"> </w:t>
      </w:r>
      <w:r>
        <w:t xml:space="preserve">less certain than a near one, because a point estimate has no width — you need the</w:t>
      </w:r>
      <w:r>
        <w:t xml:space="preserve"> </w:t>
      </w:r>
      <w:r>
        <w:t xml:space="preserve">estimate’s dispersion to grow with distance for the speed effect at matched PET to appear.</w:t>
      </w:r>
    </w:p>
    <w:bookmarkEnd w:id="12"/>
    <w:bookmarkStart w:id="13" w:name="X844f5e87ccaedd97312ba10da4971c1df014467"/>
    <w:p>
      <w:pPr>
        <w:pStyle w:val="Heading2"/>
      </w:pPr>
      <w:r>
        <w:t xml:space="preserve">5 One proposal that addresses both, and is native to active inference</w:t>
      </w:r>
    </w:p>
    <w:p>
      <w:pPr>
        <w:pStyle w:val="FirstParagraph"/>
      </w:pPr>
      <w:r>
        <w:rPr>
          <w:b/>
          <w:bCs/>
        </w:rPr>
        <w:t xml:space="preserve">Give the predicted trajectory a distribution, and take the deficit in expectation over</w:t>
      </w:r>
      <w:r>
        <w:rPr>
          <w:b/>
          <w:bCs/>
        </w:rPr>
        <w:t xml:space="preserve"> </w:t>
      </w:r>
      <w:r>
        <w:rPr>
          <w:b/>
          <w:bCs/>
        </w:rPr>
        <w:t xml:space="preserve">it.</w:t>
      </w:r>
      <w:r>
        <w:t xml:space="preserve"> </w:t>
      </w:r>
      <w:r>
        <w:t xml:space="preserve">Concretely: replace the deficit evaluated at the predicted relative state,</w:t>
      </w:r>
      <w:r>
        <w:t xml:space="preserve"> </w:t>
      </w:r>
      <w:r>
        <w:rPr>
          <w:rStyle w:val="VerbatimChar"/>
        </w:rPr>
        <w:t xml:space="preserve">d(x̂)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E[d(x)]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x ~ N(x̂, Σ(t))</w:t>
      </w:r>
      <w:r>
        <w:t xml:space="preserve"> </w:t>
      </w:r>
      <w:r>
        <w:t xml:space="preserve">and Σ grows with prediction horizon and</w:t>
      </w:r>
      <w:r>
        <w:t xml:space="preserve"> </w:t>
      </w:r>
      <w:r>
        <w:t xml:space="preserve">with distance.</w:t>
      </w:r>
    </w:p>
    <w:p>
      <w:pPr>
        <w:pStyle w:val="BodyText"/>
      </w:pPr>
      <w:r>
        <w:t xml:space="preserve">This is not a bolt-on. Expected free energy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an expectation of a preference</w:t>
      </w:r>
      <w:r>
        <w:t xml:space="preserve"> </w:t>
      </w:r>
      <w:r>
        <w:t xml:space="preserve">term under a predictive distribution — the released model simply collapses that</w:t>
      </w:r>
      <w:r>
        <w:t xml:space="preserve"> </w:t>
      </w:r>
      <w:r>
        <w:t xml:space="preserve">distribution to its mean for the scenarios it was built for, which are longitudinal and</w:t>
      </w:r>
      <w:r>
        <w:t xml:space="preserve"> </w:t>
      </w:r>
      <w:r>
        <w:t xml:space="preserve">where the collapse is harmless. Restoring the width is a return to the framework’s own</w:t>
      </w:r>
      <w:r>
        <w:t xml:space="preserve"> </w:t>
      </w:r>
      <w:r>
        <w:t xml:space="preserve">form, and it is the same move as our lane-entry work (§3 of the lane-entry note argued the</w:t>
      </w:r>
      <w:r>
        <w:t xml:space="preserve"> </w:t>
      </w:r>
      <w:r>
        <w:t xml:space="preserve">continuous form is the closed-form of an expectation the closed loop already computes by</w:t>
      </w:r>
      <w:r>
        <w:t xml:space="preserve"> </w:t>
      </w:r>
      <w:r>
        <w:t xml:space="preserve">rollout). Ours would be a second such closed form.</w:t>
      </w:r>
    </w:p>
    <w:p>
      <w:pPr>
        <w:pStyle w:val="BodyText"/>
      </w:pPr>
      <w:r>
        <w:t xml:space="preserve">What it buys, in one mechanism: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lateral comfort term.</w:t>
      </w:r>
      <w:r>
        <w:t xml:space="preserve"> </w:t>
      </w:r>
      <w:r>
        <w:t xml:space="preserve">With lateral variance on the ego’s predicted path, a</w:t>
      </w:r>
      <w:r>
        <w:t xml:space="preserve"> </w:t>
      </w:r>
      <w:r>
        <w:t xml:space="preserve">0.5 m clearance puts real probability mass on the cyclist while a 1.5 m clearance does</w:t>
      </w:r>
      <w:r>
        <w:t xml:space="preserve"> </w:t>
      </w:r>
      <w:r>
        <w:t xml:space="preserve">not, so the expected deficit grades smoothly with clearance even though every mean</w:t>
      </w:r>
      <w:r>
        <w:t xml:space="preserve"> </w:t>
      </w:r>
      <w:r>
        <w:t xml:space="preserve">trajectory clears. This is precisely the DRF’s Gaussian cross-section, arrived at from</w:t>
      </w:r>
      <w:r>
        <w:t xml:space="preserve"> </w:t>
      </w:r>
      <w:r>
        <w:t xml:space="preserve">our own side, and it inherits the DRF’s empirical support on overtaking.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distance–time effect.</w:t>
      </w:r>
      <w:r>
        <w:t xml:space="preserve"> </w:t>
      </w:r>
      <w:r>
        <w:t xml:space="preserve">With prediction variance growing with horizon (and hence</w:t>
      </w:r>
      <w:r>
        <w:t xml:space="preserve"> </w:t>
      </w:r>
      <w:r>
        <w:t xml:space="preserve">with distance at matched time), a far-but-time-matched conflict has a more dispersed</w:t>
      </w:r>
      <w:r>
        <w:t xml:space="preserve"> </w:t>
      </w:r>
      <w:r>
        <w:t xml:space="preserve">predicted state. Under an asymmetric cost — which the preference function already has,</w:t>
      </w:r>
      <w:r>
        <w:t xml:space="preserve"> </w:t>
      </w:r>
      <w:r>
        <w:t xml:space="preserve">since collisions cost far more than near-misses — expected deficit is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for the</w:t>
      </w:r>
      <w:r>
        <w:t xml:space="preserve"> </w:t>
      </w:r>
      <w:r>
        <w:t xml:space="preserve">more dispersed estimate. At matched PET the 50 km/h case is the nearer, and the 70 km/h</w:t>
      </w:r>
      <w:r>
        <w:t xml:space="preserve"> </w:t>
      </w:r>
      <w:r>
        <w:t xml:space="preserve">case the more distant one; the sign of the resulting effect is exactly what needs</w:t>
      </w:r>
      <w:r>
        <w:t xml:space="preserve"> </w:t>
      </w:r>
      <w:r>
        <w:t xml:space="preserve">checking against our data, and is the test proposed in §6.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principled place for the epistemic half of the gaze machinery.</w:t>
      </w:r>
      <w:r>
        <w:t xml:space="preserve"> </w:t>
      </w:r>
      <w:r>
        <w:t xml:space="preserve">Uncertainty</w:t>
      </w:r>
      <w:r>
        <w:t xml:space="preserve"> </w:t>
      </w:r>
      <w:r>
        <w:t xml:space="preserve">becomes a first-class quantity in the field rather than an unexercised branch.</w:t>
      </w:r>
    </w:p>
    <w:p>
      <w:pPr>
        <w:pStyle w:val="FirstParagraph"/>
      </w:pPr>
      <w:r>
        <w:rPr>
          <w:b/>
          <w:bCs/>
        </w:rPr>
        <w:t xml:space="preserve">Two honest caveats.</w:t>
      </w:r>
      <w:r>
        <w:t xml:space="preserve"> </w:t>
      </w:r>
      <w:r>
        <w:t xml:space="preserve">First, adding predictive variance introduces at least one new</w:t>
      </w:r>
      <w:r>
        <w:t xml:space="preserve"> </w:t>
      </w:r>
      <w:r>
        <w:t xml:space="preserve">parameter (how Σ scales), which erodes the</w:t>
      </w:r>
      <w:r>
        <w:t xml:space="preserve"> </w:t>
      </w:r>
      <w:r>
        <w:t xml:space="preserve">“nothing upstream of the boundary is fitted”</w:t>
      </w:r>
      <w:r>
        <w:t xml:space="preserve"> </w:t>
      </w:r>
      <w:r>
        <w:t xml:space="preserve">property — the same cost as the k decision in §5 of the overtake note, but larger. It</w:t>
      </w:r>
      <w:r>
        <w:t xml:space="preserve"> </w:t>
      </w:r>
      <w:r>
        <w:t xml:space="preserve">should therefore be calibrated once, on one scenario, and frozen for the transfer test.</w:t>
      </w:r>
      <w:r>
        <w:t xml:space="preserve"> </w:t>
      </w:r>
      <w:r>
        <w:t xml:space="preserve">Second,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distance effect under an expected-deficit model is a</w:t>
      </w:r>
      <w:r>
        <w:t xml:space="preserve"> </w:t>
      </w:r>
      <w:r>
        <w:t xml:space="preserve">derivation I have sketched and not done; if the asymmetry runs the other way, the</w:t>
      </w:r>
      <w:r>
        <w:t xml:space="preserve"> </w:t>
      </w:r>
      <w:r>
        <w:t xml:space="preserve">mechanism predicts the opposite of what we observe and the proposal fails. That</w:t>
      </w:r>
      <w:r>
        <w:t xml:space="preserve"> </w:t>
      </w:r>
      <w:r>
        <w:t xml:space="preserve">derivation is the first task in §6, and it should be done before any code is written.</w:t>
      </w:r>
    </w:p>
    <w:bookmarkEnd w:id="13"/>
    <w:bookmarkStart w:id="14" w:name="what-should-be-checked-in-order"/>
    <w:p>
      <w:pPr>
        <w:pStyle w:val="Heading2"/>
      </w:pPr>
      <w:r>
        <w:t xml:space="preserve">6 What should be checked, in order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Derive the sign.</w:t>
      </w:r>
      <w:r>
        <w:t xml:space="preserve"> </w:t>
      </w:r>
      <w:r>
        <w:t xml:space="preserve">For our preference function’s actual cost asymmetry, does</w:t>
      </w:r>
      <w:r>
        <w:t xml:space="preserve"> </w:t>
      </w:r>
      <w:r>
        <w:t xml:space="preserve">E[d(x)] under a wider Σ rise or fall? Analytic where possible, numeric otherwise. If</w:t>
      </w:r>
      <w:r>
        <w:t xml:space="preserve"> </w:t>
      </w:r>
      <w:r>
        <w:t xml:space="preserve">the sign is wrong, stop; the mechanism is not the explanation.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on LTAP, which is built for it.</w:t>
      </w:r>
      <w:r>
        <w:t xml:space="preserve"> </w:t>
      </w:r>
      <w:r>
        <w:t xml:space="preserve">The two-speed design separates time from</w:t>
      </w:r>
      <w:r>
        <w:t xml:space="preserve"> </w:t>
      </w:r>
      <w:r>
        <w:t xml:space="preserve">distance by construction. Predicted: at matched PET, the expected-deficit field shows</w:t>
      </w:r>
      <w:r>
        <w:t xml:space="preserve"> </w:t>
      </w:r>
      <w:r>
        <w:t xml:space="preserve">a speed effect of the observed sign and roughly the observed size, while the</w:t>
      </w:r>
      <w:r>
        <w:t xml:space="preserve"> </w:t>
      </w:r>
      <w:r>
        <w:t xml:space="preserve">point-estimate field shows almost none.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on the cyclist overtake.</w:t>
      </w:r>
      <w:r>
        <w:t xml:space="preserve"> </w:t>
      </w:r>
      <w:r>
        <w:t xml:space="preserve">Predicted: the expected-deficit field orders the 15</w:t>
      </w:r>
      <w:r>
        <w:t xml:space="preserve"> </w:t>
      </w:r>
      <w:r>
        <w:t xml:space="preserve">cells materially better than the current +0.402, approaching the clearance label’s</w:t>
      </w:r>
      <w:r>
        <w:t xml:space="preserve"> </w:t>
      </w:r>
      <w:r>
        <w:t xml:space="preserve">0.833 without being given the clearance.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then</w:t>
      </w:r>
      <w:r>
        <w:t xml:space="preserve"> </w:t>
      </w:r>
      <w:r>
        <w:t xml:space="preserve">consider whether the DRF’s specific functional form (parabolic height,</w:t>
      </w:r>
      <w:r>
        <w:t xml:space="preserve"> </w:t>
      </w:r>
      <w:r>
        <w:t xml:space="preserve">width linear in arc length and steering) should be adopted wholesale rather than</w:t>
      </w:r>
      <w:r>
        <w:t xml:space="preserve"> </w:t>
      </w:r>
      <w:r>
        <w:t xml:space="preserve">re-derived, and whether its six constants can be inherited rather than refitted.</w:t>
      </w:r>
    </w:p>
    <w:bookmarkEnd w:id="14"/>
    <w:bookmarkStart w:id="15" w:name="references"/>
    <w:p>
      <w:pPr>
        <w:pStyle w:val="Heading2"/>
      </w:pPr>
      <w:r>
        <w:t xml:space="preserve">7 References</w:t>
      </w:r>
    </w:p>
    <w:p>
      <w:pPr>
        <w:pStyle w:val="FirstParagraph"/>
      </w:pPr>
      <w:r>
        <w:t xml:space="preserve">Bontje, F., van Waveren, F., van Maanen, L., Nallapu, B., Markkula, G., &amp; Zgonnikov, A.</w:t>
      </w:r>
      <w:r>
        <w:t xml:space="preserve"> </w:t>
      </w:r>
      <w:r>
        <w:t xml:space="preserve">(2026).</w:t>
      </w:r>
      <w:r>
        <w:t xml:space="preserve"> </w:t>
      </w:r>
      <w:r>
        <w:rPr>
          <w:i/>
          <w:iCs/>
        </w:rPr>
        <w:t xml:space="preserve">Knowing when to move: Evidence accumulation models of human behavior in</w:t>
      </w:r>
      <w:r>
        <w:rPr>
          <w:i/>
          <w:iCs/>
        </w:rPr>
        <w:t xml:space="preserve"> </w:t>
      </w:r>
      <w:r>
        <w:rPr>
          <w:i/>
          <w:iCs/>
        </w:rPr>
        <w:t xml:space="preserve">traffic</w:t>
      </w:r>
      <w:r>
        <w:t xml:space="preserve"> </w:t>
      </w:r>
      <w:r>
        <w:t xml:space="preserve">(arXiv:2606.00727). arXiv. https://arxiv.org/abs/2606.00727</w:t>
      </w:r>
    </w:p>
    <w:p>
      <w:pPr>
        <w:pStyle w:val="BodyText"/>
      </w:pPr>
      <w:r>
        <w:t xml:space="preserve">Kolekar, S., de Winter, J., &amp; Abbink, D. (2020). Human-like driving behaviour emerges</w:t>
      </w:r>
      <w:r>
        <w:t xml:space="preserve"> </w:t>
      </w:r>
      <w:r>
        <w:t xml:space="preserve">from a risk-based driver model.</w:t>
      </w:r>
      <w:r>
        <w:t xml:space="preserve"> </w:t>
      </w:r>
      <w:r>
        <w:rPr>
          <w:i/>
          <w:iCs/>
        </w:rPr>
        <w:t xml:space="preserve">Nature Communications, 11</w:t>
      </w:r>
      <w:r>
        <w:t xml:space="preserve">, Article 4850.</w:t>
      </w:r>
      <w:r>
        <w:t xml:space="preserve"> </w:t>
      </w:r>
      <w:r>
        <w:t xml:space="preserve">https://doi.org/10.1038/s41467-020-18353-4</w:t>
      </w:r>
    </w:p>
    <w:p>
      <w:pPr>
        <w:pStyle w:val="BodyText"/>
      </w:pPr>
      <w:r>
        <w:t xml:space="preserve">Mohammad, S. H. A., Farah, H., &amp; Zgonnikov, A. (2024).</w:t>
      </w:r>
      <w:r>
        <w:t xml:space="preserve"> </w:t>
      </w:r>
      <w:r>
        <w:rPr>
          <w:i/>
          <w:iCs/>
        </w:rPr>
        <w:t xml:space="preserve">A cognitive process approach to</w:t>
      </w:r>
      <w:r>
        <w:rPr>
          <w:i/>
          <w:iCs/>
        </w:rPr>
        <w:t xml:space="preserve"> </w:t>
      </w:r>
      <w:r>
        <w:rPr>
          <w:i/>
          <w:iCs/>
        </w:rPr>
        <w:t xml:space="preserve">modeling gap acceptance in overtaking</w:t>
      </w:r>
      <w:r>
        <w:t xml:space="preserve"> </w:t>
      </w:r>
      <w:r>
        <w:t xml:space="preserve">(arXiv:2306.05203). arXiv.</w:t>
      </w:r>
      <w:r>
        <w:t xml:space="preserve"> </w:t>
      </w:r>
      <w:r>
        <w:t xml:space="preserve">https://arxiv.org/abs/2306.05203</w:t>
      </w:r>
    </w:p>
    <w:p>
      <w:pPr>
        <w:pStyle w:val="BodyText"/>
      </w:pPr>
      <w:r>
        <w:t xml:space="preserve">Wang, Y., Srinivasan, A. R., Jokinen, J. P. P., Oulasvirta, A., &amp; Markkula, G. (2024).</w:t>
      </w:r>
      <w:r>
        <w:t xml:space="preserve"> </w:t>
      </w:r>
      <w:r>
        <w:rPr>
          <w:i/>
          <w:iCs/>
        </w:rPr>
        <w:t xml:space="preserve">Pedestrian crossing decisions can be explained by bounded optimal decision-making under</w:t>
      </w:r>
      <w:r>
        <w:rPr>
          <w:i/>
          <w:iCs/>
        </w:rPr>
        <w:t xml:space="preserve"> </w:t>
      </w:r>
      <w:r>
        <w:rPr>
          <w:i/>
          <w:iCs/>
        </w:rPr>
        <w:t xml:space="preserve">noisy visual perception</w:t>
      </w:r>
      <w:r>
        <w:t xml:space="preserve"> </w:t>
      </w:r>
      <w:r>
        <w:t xml:space="preserve">(arXiv:2402.04370). arXiv. https://arxiv.org/abs/2402.04370</w:t>
      </w:r>
    </w:p>
    <w:p>
      <w:pPr>
        <w:pStyle w:val="BodyText"/>
      </w:pPr>
      <w:r>
        <w:t xml:space="preserve">Zgonnikov, A., Abbink, D., &amp; Markkula, G. (2024). Should I stay or should I go?</w:t>
      </w:r>
      <w:r>
        <w:t xml:space="preserve"> </w:t>
      </w:r>
      <w:r>
        <w:t xml:space="preserve">Cognitive modeling of left-turn gap acceptance decisions in human drivers.</w:t>
      </w:r>
      <w:r>
        <w:t xml:space="preserve"> </w:t>
      </w:r>
      <w:r>
        <w:rPr>
          <w:i/>
          <w:iCs/>
        </w:rPr>
        <w:t xml:space="preserve">Human</w:t>
      </w:r>
      <w:r>
        <w:rPr>
          <w:i/>
          <w:iCs/>
        </w:rPr>
        <w:t xml:space="preserve"> </w:t>
      </w:r>
      <w:r>
        <w:rPr>
          <w:i/>
          <w:iCs/>
        </w:rPr>
        <w:t xml:space="preserve">Factors, 66</w:t>
      </w:r>
      <w:r>
        <w:t xml:space="preserve">(5), 1399–1413. https://doi.org/10.1177/00187208221144561</w:t>
      </w:r>
    </w:p>
    <w:p>
      <w:pPr>
        <w:pStyle w:val="BodyText"/>
      </w:pPr>
      <w:r>
        <w:rPr>
          <w:b/>
          <w:bCs/>
        </w:rPr>
        <w:t xml:space="preserve">Verification status</w:t>
      </w:r>
      <w:r>
        <w:t xml:space="preserve">, per the project’s provenance rule. Kolekar et al. (2020),</w:t>
      </w:r>
      <w:r>
        <w:t xml:space="preserve"> </w:t>
      </w:r>
      <w:r>
        <w:t xml:space="preserve">Bontje et al. (2026) and Mohammad et al. were read as full text (PDFs extracted locally);</w:t>
      </w:r>
      <w:r>
        <w:t xml:space="preserve"> </w:t>
      </w:r>
      <w:r>
        <w:t xml:space="preserve">the DRF equations, parameter list and validated-scenario list in §3 are taken from the</w:t>
      </w:r>
      <w:r>
        <w:t xml:space="preserve"> </w:t>
      </w:r>
      <w:r>
        <w:t xml:space="preserve">paper itself. Zgonnikov et al. (2024) and Wang et al. (2024) were read at</w:t>
      </w:r>
      <w:r>
        <w:t xml:space="preserve"> </w:t>
      </w:r>
      <w:r>
        <w:t xml:space="preserve">publisher-page and abstract-plus-extract level respectively — their headline findings as</w:t>
      </w:r>
      <w:r>
        <w:t xml:space="preserve"> </w:t>
      </w:r>
      <w:r>
        <w:t xml:space="preserve">quoted here are reliable, but the detailed noise-scaling argument attributed to Wang et</w:t>
      </w:r>
      <w:r>
        <w:t xml:space="preserve"> </w:t>
      </w:r>
      <w:r>
        <w:t xml:space="preserve">al. in §2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checked against their equations, and the year and venue of</w:t>
      </w:r>
      <w:r>
        <w:t xml:space="preserve"> </w:t>
      </w:r>
      <w:r>
        <w:t xml:space="preserve">Mohammad et al. (arXiv preprint, also an IEEE conference paper) should be confirmed</w:t>
      </w:r>
      <w:r>
        <w:t xml:space="preserve"> </w:t>
      </w:r>
      <w:r>
        <w:t xml:space="preserve">before any manuscript cites 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2026-08-28T19:58:21Z</dcterms:created>
  <dcterms:modified xsi:type="dcterms:W3CDTF">2026-08-28T19:58:21Z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