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22c556326a69abcd183b9fe0aaaec16d812b9aa"/>
    <w:p>
      <w:pPr>
        <w:pStyle w:val="Heading1"/>
      </w:pPr>
      <w:r>
        <w:t xml:space="preserve">Building the strand-1 agent, a design note</w:t>
      </w:r>
    </w:p>
    <w:p>
      <w:pPr>
        <w:pStyle w:val="Heading2"/>
      </w:pPr>
      <w:bookmarkStart w:id="9" w:name="X0651fc30074a26133f12685c69cb4c72a04de91"/>
      <w:r>
        <w:t xml:space="preserve">Revised reading, 2026-09-22 (Jonas’s decision 3: update the documents)</w:t>
      </w:r>
      <w:bookmarkEnd w:id="9"/>
    </w:p>
    <w:p>
      <w:pPr>
        <w:pStyle w:val="BlockText"/>
      </w:pPr>
      <w:r>
        <w:t xml:space="preserve">This note’s specification of strand 1 (§1 to §4) was checked against Engström et al. (2024) and</w:t>
      </w:r>
      <w:r>
        <w:t xml:space="preserve"> </w:t>
      </w:r>
      <w:r>
        <w:t xml:space="preserve">holds. Its card ladder (§5) is superseded: its S1.4 (free following) was withdrawn on Jonas’s</w:t>
      </w:r>
      <w:r>
        <w:t xml:space="preserve"> </w:t>
      </w:r>
      <w:r>
        <w:t xml:space="preserve">objection that a car-following model would be what got measured; its S1.5 (equilibrium) falls to</w:t>
      </w:r>
      <w:r>
        <w:t xml:space="preserve"> </w:t>
      </w:r>
      <w:r>
        <w:t xml:space="preserve">the same objection; the cards actually run under these numbers are different cards</w:t>
      </w:r>
      <w:r>
        <w:t xml:space="preserve"> </w:t>
      </w:r>
      <w:r>
        <w:t xml:space="preserve">(</w:t>
      </w:r>
      <w:r>
        <w:rPr>
          <w:rStyle w:val="VerbatimChar"/>
        </w:rPr>
        <w:t xml:space="preserve">out/s14_strand1_preference.md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out/s15_comfort_threshold.md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out/s16_admissibility.md</w:t>
      </w:r>
      <w:r>
        <w:t xml:space="preserve">), all</w:t>
      </w:r>
      <w:r>
        <w:t xml:space="preserve"> </w:t>
      </w:r>
      <w:r>
        <w:t xml:space="preserve">not credited. Two of its claims are corrected in place below:</w:t>
      </w:r>
      <w:r>
        <w:t xml:space="preserve"> </w:t>
      </w:r>
      <w:r>
        <w:t xml:space="preserve">“the comfort margin beats the gap”</w:t>
      </w:r>
      <w:r>
        <w:t xml:space="preserve"> </w:t>
      </w:r>
      <w:r>
        <w:t xml:space="preserve">holds only at a_OV = −10, the winner of an exploratory sweep, and card S1.5 showed that on this</w:t>
      </w:r>
      <w:r>
        <w:t xml:space="preserve"> </w:t>
      </w:r>
      <w:r>
        <w:t xml:space="preserve">study the assumed lead braking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standoff (one lead speed), so that setting is the released</w:t>
      </w:r>
      <w:r>
        <w:t xml:space="preserve"> </w:t>
      </w:r>
      <w:r>
        <w:t xml:space="preserve">−6 with the ego stopping 20.8 m further out; at the ruled −6 the margin scores 0.2230. And</w:t>
      </w:r>
      <w:r>
        <w:t xml:space="preserve"> </w:t>
      </w:r>
      <w:r>
        <w:t xml:space="preserve">“ρ =</w:t>
      </w:r>
      <w:r>
        <w:t xml:space="preserve"> </w:t>
      </w:r>
      <w:r>
        <w:t xml:space="preserve">−0.861”</w:t>
      </w:r>
      <w:r>
        <w:t xml:space="preserve"> </w:t>
      </w:r>
      <w:r>
        <w:t xml:space="preserve">is a horizon-sum accounting effect, not an inversion of the term. What stands: the</w:t>
      </w:r>
      <w:r>
        <w:t xml:space="preserve"> </w:t>
      </w:r>
      <w:r>
        <w:t xml:space="preserve">difference between strand 1’s absolute conflict preference and the released graded one, and the</w:t>
      </w:r>
      <w:r>
        <w:t xml:space="preserve"> </w:t>
      </w:r>
      <w:r>
        <w:t xml:space="preserve">observation that a strand-1 agent needs no braking-margin term. What came of the strand-1 line:</w:t>
      </w:r>
      <w:r>
        <w:t xml:space="preserve"> </w:t>
      </w:r>
      <w:r>
        <w:t xml:space="preserve">card S1.6 (admissibility turns ΔG into the comfort price of the mildest admissible deceleration,</w:t>
      </w:r>
      <w:r>
        <w:t xml:space="preserve"> </w:t>
      </w:r>
      <w:r>
        <w:t xml:space="preserve">and contains a gate as a tolerance on P(conflict)), then the gate’s derivation in JJ.6e.</w:t>
      </w:r>
    </w:p>
    <w:p>
      <w:pPr>
        <w:pStyle w:val="FirstParagraph"/>
      </w:pPr>
      <w:r>
        <w:rPr>
          <w:i/>
          <w:iCs/>
        </w:rPr>
        <w:t xml:space="preserve">2026-09-18, on Jonas’s ruling S11.Q3:</w:t>
      </w:r>
      <w:r>
        <w:rPr>
          <w:i/>
          <w:iCs/>
        </w:rPr>
        <w:t xml:space="preserve"> </w:t>
      </w:r>
      <w:r>
        <w:rPr>
          <w:i/>
          <w:iCs/>
        </w:rPr>
        <w:t xml:space="preserve">“Yes, absolutely build it properly.”</w:t>
      </w:r>
      <w:r>
        <w:rPr>
          <w:i/>
          <w:iCs/>
        </w:rPr>
        <w:t xml:space="preserve"> </w:t>
      </w:r>
      <w:r>
        <w:rPr>
          <w:i/>
          <w:iCs/>
        </w:rPr>
        <w:t xml:space="preserve">Strand 1 is Engström,</w:t>
      </w:r>
      <w:r>
        <w:rPr>
          <w:i/>
          <w:iCs/>
        </w:rPr>
        <w:t xml:space="preserve"> </w:t>
      </w:r>
      <w:r>
        <w:rPr>
          <w:i/>
          <w:iCs/>
        </w:rPr>
        <w:t xml:space="preserve">Wei, McDonald, Garcia, O’Kelly &amp; Johnson (2024),</w:t>
      </w:r>
      <w:r>
        <w:rPr>
          <w:i/>
          <w:iCs/>
        </w:rPr>
        <w:t xml:space="preserve"> </w:t>
      </w:r>
      <w:r>
        <w:t xml:space="preserve">Resolving uncertainty on the fly: modeling</w:t>
      </w:r>
      <w:r>
        <w:t xml:space="preserve"> </w:t>
      </w:r>
      <w:r>
        <w:t xml:space="preserve">adaptive driving behavior as active inference</w:t>
      </w:r>
      <w:r>
        <w:rPr>
          <w:i/>
          <w:iCs/>
        </w:rPr>
        <w:t xml:space="preserve">, Front. Neurorobot. 18:1341750 — the model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docs/waymo_program_revisit.md</w:t>
      </w:r>
      <w:r>
        <w:rPr>
          <w:i/>
          <w:iCs/>
        </w:rPr>
        <w:t xml:space="preserve"> </w:t>
      </w:r>
      <w:r>
        <w:rPr>
          <w:i/>
          <w:iCs/>
        </w:rPr>
        <w:t xml:space="preserve">§1 identifies as the program’s own home for the comfort-zone</w:t>
      </w:r>
      <w:r>
        <w:rPr>
          <w:i/>
          <w:iCs/>
        </w:rPr>
        <w:t xml:space="preserve"> </w:t>
      </w:r>
      <w:r>
        <w:rPr>
          <w:i/>
          <w:iCs/>
        </w:rPr>
        <w:t xml:space="preserve">regime, where this project has been using strand 2’s collision-avoidance model instead.</w:t>
      </w:r>
    </w:p>
    <w:p>
      <w:pPr>
        <w:pStyle w:val="BodyText"/>
      </w:pPr>
      <w:r>
        <w:rPr>
          <w:b/>
          <w:bCs/>
        </w:rPr>
        <w:t xml:space="preserve">Status: a design note. Nothing is authorized and nothing is built.</w:t>
      </w:r>
      <w:r>
        <w:t xml:space="preserve"> </w:t>
      </w:r>
      <w:r>
        <w:t xml:space="preserve">Every specification below is</w:t>
      </w:r>
      <w:r>
        <w:t xml:space="preserve"> </w:t>
      </w:r>
      <w:r>
        <w:t xml:space="preserve">quoted or paraphrased from the paper with its location; every judgment is marked. The rules in §5</w:t>
      </w:r>
      <w:r>
        <w:t xml:space="preserve"> </w:t>
      </w:r>
      <w:r>
        <w:t xml:space="preserve">become binding only when Jonas has read them.</w:t>
      </w:r>
    </w:p>
    <w:p>
      <w:r>
        <w:pict>
          <v:rect style="width:0;height:1.5pt" o:hralign="center" o:hrstd="t" o:hr="t"/>
        </w:pict>
      </w:r>
    </w:p>
    <w:bookmarkStart w:id="10" w:name="X6c1fa5da33bec1563ac152607843842e09495ed"/>
    <w:p>
      <w:pPr>
        <w:pStyle w:val="Heading2"/>
      </w:pPr>
      <w:r>
        <w:t xml:space="preserve">0 The code situation, because it changes the shape of the work</w:t>
      </w:r>
    </w:p>
    <w:p>
      <w:pPr>
        <w:pStyle w:val="FirstParagraph"/>
      </w:pPr>
      <w:r>
        <w:rPr>
          <w:b/>
          <w:bCs/>
        </w:rPr>
        <w:t xml:space="preserve">There is no code release.</w:t>
      </w:r>
      <w:r>
        <w:t xml:space="preserve"> </w:t>
      </w:r>
      <w:r>
        <w:t xml:space="preserve">The paper’s data availability statement reads, in full: the original</w:t>
      </w:r>
      <w:r>
        <w:t xml:space="preserve"> </w:t>
      </w:r>
      <w:r>
        <w:t xml:space="preserve">contributions are in the article and supplementary material, and further inquiries should be</w:t>
      </w:r>
      <w:r>
        <w:t xml:space="preserve"> </w:t>
      </w:r>
      <w:r>
        <w:t xml:space="preserve">directed to the corresponding author. No repository, no Zenodo DOI, nothing in the SI beyond the</w:t>
      </w:r>
      <w:r>
        <w:t xml:space="preserve"> </w:t>
      </w:r>
      <w:r>
        <w:t xml:space="preserve">model description.</w:t>
      </w:r>
    </w:p>
    <w:p>
      <w:pPr>
        <w:pStyle w:val="BodyText"/>
      </w:pPr>
      <w:r>
        <w:t xml:space="preserve">Two consequences: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Ask first.</w:t>
      </w:r>
      <w:r>
        <w:t xml:space="preserve"> </w:t>
      </w:r>
      <w:r>
        <w:t xml:space="preserve">The corresponding author is Engström, whom Jonas has already spoken to about this</w:t>
      </w:r>
      <w:r>
        <w:t xml:space="preserve"> </w:t>
      </w:r>
      <w:r>
        <w:t xml:space="preserve">work (prompt log, 2026-08-22). If he has the code, this note’s §5 becomes a port and the</w:t>
      </w:r>
      <w:r>
        <w:t xml:space="preserve"> </w:t>
      </w:r>
      <w:r>
        <w:t xml:space="preserve">fidelity of a reconstruction stops being something we have to defend in every later claim.</w:t>
      </w:r>
      <w:r>
        <w:t xml:space="preserve"> </w:t>
      </w:r>
      <w:r>
        <w:t xml:space="preserve">Query</w:t>
      </w:r>
      <w:r>
        <w:t xml:space="preserve"> </w:t>
      </w:r>
      <w:r>
        <w:rPr>
          <w:b/>
          <w:bCs/>
        </w:rPr>
        <w:t xml:space="preserve">S12.Q1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reconstruction is feasible anyway</w:t>
      </w:r>
      <w:r>
        <w:t xml:space="preserve">, and §2 says why: the paper specifies the algorithm in</w:t>
      </w:r>
      <w:r>
        <w:t xml:space="preserve"> </w:t>
      </w:r>
      <w:r>
        <w:t xml:space="preserve">prose and gives the preference priors and their defaults in Table 2, and almost all of the</w:t>
      </w:r>
      <w:r>
        <w:t xml:space="preserve"> </w:t>
      </w:r>
      <w:r>
        <w:t xml:space="preserve">machinery already exists in</w:t>
      </w:r>
      <w:r>
        <w:t xml:space="preserve"> </w:t>
      </w:r>
      <w:r>
        <w:rPr>
          <w:rStyle w:val="VerbatimChar"/>
        </w:rPr>
        <w:t xml:space="preserve">src/aidriver/</w:t>
      </w:r>
      <w:r>
        <w:t xml:space="preserve">.</w:t>
      </w:r>
    </w:p>
    <w:p>
      <w:pPr>
        <w:pStyle w:val="FirstParagraph"/>
      </w:pPr>
      <w:r>
        <w:rPr>
          <w:i/>
          <w:iCs/>
        </w:rPr>
        <w:t xml:space="preserve">[The one repository that does exist in this line,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github.com/ran-weii/interactive_inference</w:t>
      </w:r>
      <w:r>
        <w:rPr>
          <w:i/>
          <w:iCs/>
        </w:rPr>
        <w:t xml:space="preserve"> </w:t>
      </w:r>
      <w:r>
        <w:rPr>
          <w:i/>
          <w:iCs/>
        </w:rPr>
        <w:t xml:space="preserve">(Wei</w:t>
      </w:r>
      <w:r>
        <w:rPr>
          <w:i/>
          <w:iCs/>
        </w:rPr>
        <w:t xml:space="preserve"> </w:t>
      </w:r>
      <w:r>
        <w:rPr>
          <w:i/>
          <w:iCs/>
        </w:rPr>
        <w:t xml:space="preserve">et al. 2023), is cloned to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external/interactive_inference</w:t>
      </w:r>
      <w:r>
        <w:rPr>
          <w:i/>
          <w:iCs/>
        </w:rPr>
        <w:t xml:space="preserve"> </w:t>
      </w:r>
      <w:r>
        <w:rPr>
          <w:i/>
          <w:iCs/>
        </w:rPr>
        <w:t xml:space="preserve">and is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this model — it is the</w:t>
      </w:r>
      <w:r>
        <w:rPr>
          <w:i/>
          <w:iCs/>
        </w:rPr>
        <w:t xml:space="preserve"> </w:t>
      </w:r>
      <w:r>
        <w:rPr>
          <w:i/>
          <w:iCs/>
        </w:rPr>
        <w:t xml:space="preserve">learned inverse-RL branch, it needs the INTERACTION dataset, and it carries no LICENSE file, so it</w:t>
      </w:r>
      <w:r>
        <w:rPr>
          <w:i/>
          <w:iCs/>
        </w:rPr>
        <w:t xml:space="preserve"> </w:t>
      </w:r>
      <w:r>
        <w:rPr>
          <w:i/>
          <w:iCs/>
        </w:rPr>
        <w:t xml:space="preserve">may be read and not copied.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external/README.md</w:t>
      </w:r>
      <w:r>
        <w:rPr>
          <w:i/>
          <w:iCs/>
        </w:rPr>
        <w:t xml:space="preserve"> </w:t>
      </w:r>
      <w:r>
        <w:rPr>
          <w:i/>
          <w:iCs/>
        </w:rPr>
        <w:t xml:space="preserve">records that.]</w:t>
      </w:r>
    </w:p>
    <w:p>
      <w:r>
        <w:pict>
          <v:rect style="width:0;height:1.5pt" o:hralign="center" o:hrstd="t" o:hr="t"/>
        </w:pict>
      </w:r>
    </w:p>
    <w:bookmarkEnd w:id="10"/>
    <w:bookmarkStart w:id="11" w:name="what-strand-1-is-precisely"/>
    <w:p>
      <w:pPr>
        <w:pStyle w:val="Heading2"/>
      </w:pPr>
      <w:r>
        <w:t xml:space="preserve">1 What strand 1 is, precisely</w:t>
      </w:r>
    </w:p>
    <w:p>
      <w:pPr>
        <w:pStyle w:val="FirstParagraph"/>
      </w:pPr>
      <w:r>
        <w:rPr>
          <w:b/>
          <w:bCs/>
        </w:rPr>
        <w:t xml:space="preserve">The objective</w:t>
      </w:r>
      <w:r>
        <w:t xml:space="preserve"> </w:t>
      </w:r>
      <w:r>
        <w:t xml:space="preserve">(paper Eq. 1–2), the same shape as strand 2’s:</w:t>
      </w:r>
    </w:p>
    <w:p>
      <w:pPr>
        <w:pStyle w:val="BlockText"/>
      </w:pPr>
      <w:r>
        <w:t xml:space="preserve">G(π) = −E_Q(o|π)[log P(o)] − E_Q(s,o|π) D_KL[Q(s|o,π) ‖ Q(s|π)]</w:t>
      </w:r>
    </w:p>
    <w:p>
      <w:pPr>
        <w:pStyle w:val="FirstParagraph"/>
      </w:pPr>
      <w:r>
        <w:t xml:space="preserve">pragmatic plus epistemic, in one currency, with the action taken from the first step of the policy</w:t>
      </w:r>
      <w:r>
        <w:t xml:space="preserve"> </w:t>
      </w:r>
      <w:r>
        <w:t xml:space="preserve">minimising it.</w:t>
      </w:r>
    </w:p>
    <w:p>
      <w:pPr>
        <w:pStyle w:val="BodyText"/>
      </w:pPr>
      <w:r>
        <w:rPr>
          <w:b/>
          <w:bCs/>
        </w:rPr>
        <w:t xml:space="preserve">The state space</w:t>
      </w:r>
      <w:r>
        <w:t xml:space="preserve"> </w:t>
      </w:r>
      <w:r>
        <w:t xml:space="preserve">(Table 1) carries something strand 2 has no analogue of: a</w:t>
      </w:r>
      <w:r>
        <w:t xml:space="preserve"> </w:t>
      </w:r>
      <w:r>
        <w:rPr>
          <w:b/>
          <w:bCs/>
        </w:rPr>
        <w:t xml:space="preserve">discrete context</w:t>
      </w:r>
      <w:r>
        <w:rPr>
          <w:b/>
          <w:bCs/>
        </w:rPr>
        <w:t xml:space="preserve"> </w:t>
      </w:r>
      <w:r>
        <w:rPr>
          <w:b/>
          <w:bCs/>
        </w:rPr>
        <w:t xml:space="preserve">variable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— whether a pedestrian is present behind the occlusion — alongside a discrete</w:t>
      </w:r>
      <w:r>
        <w:t xml:space="preserve"> </w:t>
      </w:r>
      <w:r>
        <w:t xml:space="preserve">conflict indicator</w:t>
      </w:r>
      <w:r>
        <w:t xml:space="preserve"> </w:t>
      </w:r>
      <w:r>
        <w:rPr>
          <w:rStyle w:val="VerbatimChar"/>
        </w:rPr>
        <w:t xml:space="preserve">C</w:t>
      </w:r>
      <w:r>
        <w:t xml:space="preserve">, the pedestrian’s position and the ego’s kinematics. The context is what the</w:t>
      </w:r>
      <w:r>
        <w:t xml:space="preserve"> </w:t>
      </w:r>
      <w:r>
        <w:t xml:space="preserve">epistemic term buys information about.</w:t>
      </w:r>
    </w:p>
    <w:p>
      <w:pPr>
        <w:pStyle w:val="BodyText"/>
      </w:pPr>
      <w:r>
        <w:rPr>
          <w:b/>
          <w:bCs/>
        </w:rPr>
        <w:t xml:space="preserve">The preference priors and their defaults</w:t>
      </w:r>
      <w:r>
        <w:t xml:space="preserve"> </w:t>
      </w:r>
      <w:r>
        <w:t xml:space="preserve">(Table 2), quoted: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preference prior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keeping</w:t>
            </w:r>
          </w:p>
        </w:tc>
        <w:tc>
          <w:tcPr/>
          <w:p>
            <w:pPr>
              <w:pStyle w:val="Compact"/>
            </w:pPr>
            <w:r>
              <w:t xml:space="preserve">Gaussian centred at the speed limit</w:t>
            </w:r>
          </w:p>
        </w:tc>
        <w:tc>
          <w:tcPr/>
          <w:p>
            <w:pPr>
              <w:pStyle w:val="Compact"/>
            </w:pPr>
            <w:r>
              <w:t xml:space="preserve">μ = 10 m/s,</w:t>
            </w:r>
            <w:r>
              <w:t xml:space="preserve"> </w:t>
            </w:r>
            <w:r>
              <w:rPr>
                <w:b/>
                <w:bCs/>
              </w:rPr>
              <w:t xml:space="preserve">σ = 1 m/s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lane keeping</w:t>
            </w:r>
          </w:p>
        </w:tc>
        <w:tc>
          <w:tcPr/>
          <w:p>
            <w:pPr>
              <w:pStyle w:val="Compact"/>
            </w:pPr>
            <w:r>
              <w:t xml:space="preserve">triangular, centred at 0, bounded at the lane boundaries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acceleration</w:t>
            </w:r>
          </w:p>
        </w:tc>
        <w:tc>
          <w:tcPr/>
          <w:p>
            <w:pPr>
              <w:pStyle w:val="Compact"/>
            </w:pPr>
            <w:r>
              <w:t xml:space="preserve">Gaussian centred at zero, x and y</w:t>
            </w:r>
          </w:p>
        </w:tc>
        <w:tc>
          <w:tcPr/>
          <w:p>
            <w:pPr>
              <w:pStyle w:val="Compact"/>
            </w:pPr>
            <w:r>
              <w:t xml:space="preserve">μ = 0,</w:t>
            </w:r>
            <w:r>
              <w:t xml:space="preserve"> </w:t>
            </w:r>
            <w:r>
              <w:rPr>
                <w:b/>
                <w:bCs/>
              </w:rPr>
              <w:t xml:space="preserve">σ = 0.5 m/s²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categorical, an absolute preference over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“no conflict”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paper adds that these</w:t>
      </w:r>
      <w:r>
        <w:t xml:space="preserve"> </w:t>
      </w:r>
      <w:r>
        <w:t xml:space="preserve">“were set by hand and no systematic model optimization was performed”</w:t>
      </w:r>
      <w:r>
        <w:t xml:space="preserve">,</w:t>
      </w:r>
      <w:r>
        <w:t xml:space="preserve"> </w:t>
      </w:r>
      <w:r>
        <w:t xml:space="preserve">and that the purpose was to demonstrate the principles rather than to achieve optimal performance.</w:t>
      </w:r>
    </w:p>
    <w:p>
      <w:pPr>
        <w:pStyle w:val="BodyText"/>
      </w:pPr>
      <w:r>
        <w:rPr>
          <w:b/>
          <w:bCs/>
        </w:rPr>
        <w:t xml:space="preserve">The implementation</w:t>
      </w:r>
      <w:r>
        <w:t xml:space="preserve">: an SIR particle filter with systematic resampling when N_eff &lt; N/2; EFE by</w:t>
      </w:r>
      <w:r>
        <w:t xml:space="preserve"> </w:t>
      </w:r>
      <w:r>
        <w:t xml:space="preserve">propagating particles through the transition and observation models; the posterior predictive</w:t>
      </w:r>
      <w:r>
        <w:t xml:space="preserve"> </w:t>
      </w:r>
      <w:r>
        <w:t xml:space="preserve">entropy by</w:t>
      </w:r>
      <w:r>
        <w:t xml:space="preserve"> </w:t>
      </w:r>
      <w:r>
        <w:rPr>
          <w:b/>
          <w:bCs/>
        </w:rPr>
        <w:t xml:space="preserve">KDE</w:t>
      </w:r>
      <w:r>
        <w:t xml:space="preserve">; policies by</w:t>
      </w:r>
      <w:r>
        <w:t xml:space="preserve"> </w:t>
      </w:r>
      <w:r>
        <w:rPr>
          <w:b/>
          <w:bCs/>
        </w:rPr>
        <w:t xml:space="preserve">CEM</w:t>
      </w:r>
      <w:r>
        <w:t xml:space="preserve">; a planning horizon of 4 s; a 200 ms step.</w:t>
      </w:r>
    </w:p>
    <w:p>
      <w:pPr>
        <w:pStyle w:val="BodyText"/>
      </w:pPr>
      <w:r>
        <w:rPr>
          <w:b/>
          <w:bCs/>
        </w:rPr>
        <w:t xml:space="preserve">The two demonstrations</w:t>
      </w:r>
      <w:r>
        <w:t xml:space="preserve">: the occlusion scenario (slow down while uncertain, speed up once the</w:t>
      </w:r>
      <w:r>
        <w:t xml:space="preserve"> </w:t>
      </w:r>
      <w:r>
        <w:t xml:space="preserve">line of sight resolves it, and move laterally to reach the line of sight sooner — an</w:t>
      </w:r>
      <w:r>
        <w:t xml:space="preserve"> </w:t>
      </w:r>
      <w:r>
        <w:rPr>
          <w:i/>
          <w:iCs/>
        </w:rPr>
        <w:t xml:space="preserve">epistemic</w:t>
      </w:r>
      <w:r>
        <w:rPr>
          <w:i/>
          <w:iCs/>
        </w:rPr>
        <w:t xml:space="preserve"> </w:t>
      </w:r>
      <w:r>
        <w:rPr>
          <w:i/>
          <w:iCs/>
        </w:rPr>
        <w:t xml:space="preserve">action</w:t>
      </w:r>
      <w:r>
        <w:t xml:space="preserve">), and visual time-sharing with a secondary task.</w:t>
      </w:r>
    </w:p>
    <w:p>
      <w:r>
        <w:pict>
          <v:rect style="width:0;height:1.5pt" o:hralign="center" o:hrstd="t" o:hr="t"/>
        </w:pict>
      </w:r>
    </w:p>
    <w:bookmarkEnd w:id="11"/>
    <w:bookmarkStart w:id="12" w:name="Xb97680adf7054b328a7814d39653b2b513f088d"/>
    <w:p>
      <w:pPr>
        <w:pStyle w:val="Heading2"/>
      </w:pPr>
      <w:r>
        <w:t xml:space="preserve">2 What we already have, and what has to be new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where it is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kinematic bicycle model, rollout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src/aidriver/bicycle.py</w:t>
            </w:r>
          </w:p>
        </w:tc>
        <w:tc>
          <w:tcPr/>
          <w:p>
            <w:pPr>
              <w:pStyle w:val="Compact"/>
            </w:pPr>
            <w:r>
              <w:t xml:space="preserve">reusable as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SIR particle filter with ESS resampling and roughening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src/aidriver/agent.py</w:t>
            </w:r>
          </w:p>
        </w:tc>
        <w:tc>
          <w:tcPr/>
          <w:p>
            <w:pPr>
              <w:pStyle w:val="Compact"/>
            </w:pPr>
            <w:r>
              <w:t xml:space="preserve">reusable; strand 1 has</w:t>
            </w:r>
            <w:r>
              <w:t xml:space="preserve"> </w:t>
            </w:r>
            <w:r>
              <w:rPr>
                <w:b/>
                <w:bCs/>
              </w:rPr>
              <w:t xml:space="preserve">no norm conditioning</w:t>
            </w:r>
            <w:r>
              <w:t xml:space="preserve">, so the norm branch is switched off rather than replaced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CEM planner with the pedal constraint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agent._cem</w:t>
            </w:r>
          </w:p>
        </w:tc>
        <w:tc>
          <w:tcPr/>
          <w:p>
            <w:pPr>
              <w:pStyle w:val="Compact"/>
            </w:pPr>
            <w:r>
              <w:t xml:space="preserve">reusable; the horizon changes from 30 steps to 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EFE with a pragmatic and an epistemic part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agent.expected_free_energy</w:t>
            </w:r>
          </w:p>
        </w:tc>
        <w:tc>
          <w:tcPr/>
          <w:p>
            <w:pPr>
              <w:pStyle w:val="Compact"/>
            </w:pPr>
            <w:r>
              <w:t xml:space="preserve">reusable in shape; the epistemic term must change (below)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triangular lane-keeping prior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preferences.log_lateral_pref</w:t>
            </w:r>
          </w:p>
        </w:tc>
        <w:tc>
          <w:tcPr/>
          <w:p>
            <w:pPr>
              <w:pStyle w:val="Compact"/>
            </w:pPr>
            <w:r>
              <w:t xml:space="preserve">reusable — strand 1 uses the same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Gaussian speed and acceleration priors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preferences.log_speed_pref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log_accel_pref</w:t>
            </w:r>
          </w:p>
        </w:tc>
        <w:tc>
          <w:tcPr/>
          <w:p>
            <w:pPr>
              <w:pStyle w:val="Compact"/>
            </w:pPr>
            <w:r>
              <w:t xml:space="preserve">reusable; the σ values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categorical conflict preference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: an absolute preference, i.e. an admissibility constraint, not a graded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discrete context variable in the belief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, with its own observation model and the line-of-sight geometry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KDE posterior predictive entropy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  <w:r>
              <w:t xml:space="preserve">: strand 2 uses a closed-form Gaussian approximation; strand 1 uses a KDE and the difference is not cosmetic when the belief is multimodal, which is exactly what a context variable makes it</w:t>
            </w:r>
          </w:p>
        </w:tc>
      </w:tr>
    </w:tbl>
    <w:p>
      <w:pPr>
        <w:pStyle w:val="BodyText"/>
      </w:pPr>
      <w:r>
        <w:rPr>
          <w:i/>
          <w:iCs/>
        </w:rPr>
        <w:t xml:space="preserve">[Opinion: the honest estimate is that the reusable fraction is large but the three new pieces are</w:t>
      </w:r>
      <w:r>
        <w:rPr>
          <w:i/>
          <w:iCs/>
        </w:rPr>
        <w:t xml:space="preserve"> </w:t>
      </w:r>
      <w:r>
        <w:rPr>
          <w:i/>
          <w:iCs/>
        </w:rPr>
        <w:t xml:space="preserve">where the model’s behaviour comes from, so</w:t>
      </w:r>
      <w:r>
        <w:rPr>
          <w:i/>
          <w:iCs/>
        </w:rPr>
        <w:t xml:space="preserve"> </w:t>
      </w:r>
      <w:r>
        <w:rPr>
          <w:i/>
          <w:iCs/>
        </w:rPr>
        <w:t xml:space="preserve">“we already have most of it”</w:t>
      </w:r>
      <w:r>
        <w:rPr>
          <w:i/>
          <w:iCs/>
        </w:rPr>
        <w:t xml:space="preserve"> </w:t>
      </w:r>
      <w:r>
        <w:rPr>
          <w:i/>
          <w:iCs/>
        </w:rPr>
        <w:t xml:space="preserve">would be the wrong thing to</w:t>
      </w:r>
      <w:r>
        <w:rPr>
          <w:i/>
          <w:iCs/>
        </w:rPr>
        <w:t xml:space="preserve"> </w:t>
      </w:r>
      <w:r>
        <w:rPr>
          <w:i/>
          <w:iCs/>
        </w:rPr>
        <w:t xml:space="preserve">tell anybody.]</w:t>
      </w:r>
    </w:p>
    <w:p>
      <w:r>
        <w:pict>
          <v:rect style="width:0;height:1.5pt" o:hralign="center" o:hrstd="t" o:hr="t"/>
        </w:pict>
      </w:r>
    </w:p>
    <w:bookmarkEnd w:id="12"/>
    <w:bookmarkStart w:id="13" w:name="X4e081cdcd4cf39590f5323781272996c526faf5"/>
    <w:p>
      <w:pPr>
        <w:pStyle w:val="Heading2"/>
      </w:pPr>
      <w:r>
        <w:t xml:space="preserve">3 The differences from the released model, which are the whole argument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strand 2 (Nature, collision avoidance)</w:t>
            </w:r>
          </w:p>
        </w:tc>
        <w:tc>
          <w:tcPr/>
          <w:p>
            <w:pPr>
              <w:pStyle w:val="Compact"/>
            </w:pPr>
            <w:r>
              <w:t xml:space="preserve">strand 1 (Frontiers, uncertainty)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σ_v, speed tolerance</w:t>
            </w:r>
          </w:p>
        </w:tc>
        <w:tc>
          <w:tcPr/>
          <w:p>
            <w:pPr>
              <w:pStyle w:val="Compact"/>
            </w:pPr>
            <w:r>
              <w:t xml:space="preserve">0.5 m/s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 m/s</w:t>
            </w:r>
            <w:r>
              <w:t xml:space="preserve"> </w:t>
            </w:r>
            <w:r>
              <w:t xml:space="preserve">— twice as tolerant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σ_a, effort tolerance</w:t>
            </w:r>
          </w:p>
        </w:tc>
        <w:tc>
          <w:tcPr/>
          <w:p>
            <w:pPr>
              <w:pStyle w:val="Compact"/>
            </w:pPr>
            <w:r>
              <w:t xml:space="preserve">0.1 m/s²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 m/s²</w:t>
            </w:r>
            <w:r>
              <w:t xml:space="preserve"> </w:t>
            </w:r>
            <w:r>
              <w:t xml:space="preserve">— five times as tolerant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collision</w:t>
            </w:r>
          </w:p>
        </w:tc>
        <w:tc>
          <w:tcPr/>
          <w:p>
            <w:pPr>
              <w:pStyle w:val="Compact"/>
            </w:pPr>
            <w:r>
              <w:t xml:space="preserve">−10 000 log units × a severity linear in impact speed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categorical, absolute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“no conflict”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braking margin (</w:t>
            </w:r>
            <w:r>
              <w:rPr>
                <w:rStyle w:val="VerbatimChar"/>
              </w:rPr>
              <w:t xml:space="preserve">p_safe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indicator on a_req &lt; −a_max, × −10 000 × 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does not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inverse-τ preference</w:t>
            </w:r>
          </w:p>
        </w:tc>
        <w:tc>
          <w:tcPr/>
          <w:p>
            <w:pPr>
              <w:pStyle w:val="Compact"/>
            </w:pPr>
            <w:r>
              <w:t xml:space="preserve">one-sided Gaussian on τ⁻¹ inside</w:t>
            </w:r>
            <w:r>
              <w:t xml:space="preserve"> </w:t>
            </w:r>
            <w:r>
              <w:rPr>
                <w:rStyle w:val="VerbatimChar"/>
              </w:rPr>
              <w:t xml:space="preserve">p_coll</w:t>
            </w:r>
          </w:p>
        </w:tc>
        <w:tc>
          <w:tcPr/>
          <w:p>
            <w:pPr>
              <w:pStyle w:val="Compact"/>
            </w:pPr>
            <w:r>
              <w:t xml:space="preserve">not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road edge</w:t>
            </w:r>
          </w:p>
        </w:tc>
        <w:tc>
          <w:tcPr/>
          <w:p>
            <w:pPr>
              <w:pStyle w:val="Compact"/>
            </w:pPr>
            <w:r>
              <w:t xml:space="preserve">−15 000</w:t>
            </w:r>
          </w:p>
        </w:tc>
        <w:tc>
          <w:tcPr/>
          <w:p>
            <w:pPr>
              <w:pStyle w:val="Compact"/>
            </w:pPr>
            <w:r>
              <w:t xml:space="preserve">triangular, bounded at the lane boundaries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epistemic value</w:t>
            </w:r>
          </w:p>
        </w:tc>
        <w:tc>
          <w:tcPr/>
          <w:p>
            <w:pPr>
              <w:pStyle w:val="Compact"/>
            </w:pPr>
            <w:r>
              <w:t xml:space="preserve">α = 1, closed-form Gaussian approximation</w:t>
            </w:r>
          </w:p>
        </w:tc>
        <w:tc>
          <w:tcPr/>
          <w:p>
            <w:pPr>
              <w:pStyle w:val="Compact"/>
            </w:pPr>
            <w:r>
              <w:t xml:space="preserve">KDE, and it is the point of the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belief</w:t>
            </w:r>
          </w:p>
        </w:tc>
        <w:tc>
          <w:tcPr/>
          <w:p>
            <w:pPr>
              <w:pStyle w:val="Compact"/>
            </w:pPr>
            <w:r>
              <w:t xml:space="preserve">norm-conditioned particle filter, hand-written per-scenario norms</w:t>
            </w:r>
          </w:p>
        </w:tc>
        <w:tc>
          <w:tcPr/>
          <w:p>
            <w:pPr>
              <w:pStyle w:val="Compact"/>
            </w:pPr>
            <w:r>
              <w:t xml:space="preserve">SIR particle filter, no norm conditioning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 discrete context variable the epistemic term resolves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30 steps × 0.2 s = 6 s</w:t>
            </w:r>
          </w:p>
        </w:tc>
        <w:tc>
          <w:tcPr/>
          <w:p>
            <w:pPr>
              <w:pStyle w:val="Compact"/>
            </w:pPr>
            <w:r>
              <w:t xml:space="preserve">4 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 the first four rows together and the reformulation note’s central proposal is in the</w:t>
      </w:r>
      <w:r>
        <w:rPr>
          <w:b/>
          <w:bCs/>
        </w:rPr>
        <w:t xml:space="preserve"> </w:t>
      </w:r>
      <w:r>
        <w:rPr>
          <w:b/>
          <w:bCs/>
        </w:rPr>
        <w:t xml:space="preserve">authors’ own table.</w:t>
      </w:r>
      <w:r>
        <w:t xml:space="preserve"> </w:t>
      </w:r>
      <w:r>
        <w:rPr>
          <w:rStyle w:val="VerbatimChar"/>
        </w:rPr>
        <w:t xml:space="preserve">docs/active_inference_reformulation.md</w:t>
      </w:r>
      <w:r>
        <w:t xml:space="preserve"> </w:t>
      </w:r>
      <w:r>
        <w:t xml:space="preserve">§4 item 3 argued that the catastrophe</w:t>
      </w:r>
      <w:r>
        <w:t xml:space="preserve"> </w:t>
      </w:r>
      <w:r>
        <w:t xml:space="preserve">factors belong in the</w:t>
      </w:r>
      <w:r>
        <w:t xml:space="preserve"> </w:t>
      </w:r>
      <w:r>
        <w:rPr>
          <w:i/>
          <w:iCs/>
        </w:rPr>
        <w:t xml:space="preserve">admissibility of a policy</w:t>
      </w:r>
      <w:r>
        <w:t xml:space="preserve"> </w:t>
      </w:r>
      <w:r>
        <w:t xml:space="preserve">rather than as a cost ten thousand times the</w:t>
      </w:r>
      <w:r>
        <w:t xml:space="preserve"> </w:t>
      </w:r>
      <w:r>
        <w:t xml:space="preserve">comfort terms, and that the comfort terms need tolerances wide enough to do work. Strand 1 does</w:t>
      </w:r>
      <w:r>
        <w:t xml:space="preserve"> </w:t>
      </w:r>
      <w:r>
        <w:t xml:space="preserve">exactly both. And</w:t>
      </w:r>
      <w:r>
        <w:t xml:space="preserve"> </w:t>
      </w:r>
      <w:r>
        <w:rPr>
          <w:b/>
          <w:bCs/>
        </w:rPr>
        <w:t xml:space="preserve">strand 1 has no braking-margin term at all</w:t>
      </w:r>
      <w:r>
        <w:t xml:space="preserve"> </w:t>
      </w:r>
      <w:r>
        <w:t xml:space="preserve">— the term card RE.2 measured at</w:t>
      </w:r>
      <w:r>
        <w:t xml:space="preserve"> </w:t>
      </w:r>
      <w:r>
        <w:t xml:space="preserve">ρ = −0.861 against the share who intervene, and which</w:t>
      </w:r>
      <w:r>
        <w:t xml:space="preserve"> </w:t>
      </w:r>
      <w:r>
        <w:rPr>
          <w:rStyle w:val="VerbatimChar"/>
        </w:rPr>
        <w:t xml:space="preserve">preferences.py</w:t>
      </w:r>
      <w:r>
        <w:t xml:space="preserve"> </w:t>
      </w:r>
      <w:r>
        <w:t xml:space="preserve">calls</w:t>
      </w:r>
      <w:r>
        <w:t xml:space="preserve"> </w:t>
      </w:r>
      <w:r>
        <w:t xml:space="preserve">“the comfort-zone</w:t>
      </w:r>
      <w:r>
        <w:t xml:space="preserve"> </w:t>
      </w:r>
      <w:r>
        <w:rPr>
          <w:i/>
          <w:iCs/>
        </w:rPr>
        <w:t xml:space="preserve">[2026-09-22: a horizon-sum accounting effect, not a property of the term (review checks §1)]</w:t>
      </w:r>
      <w:r>
        <w:t xml:space="preserve"> </w:t>
      </w:r>
      <w:r>
        <w:t xml:space="preserve">term”</w:t>
      </w:r>
      <w:r>
        <w:t xml:space="preserve">, does not exist in the model the program puts in the comfort-zone regime. Its role is played</w:t>
      </w:r>
      <w:r>
        <w:t xml:space="preserve"> </w:t>
      </w:r>
      <w:r>
        <w:t xml:space="preserve">by the conflict constraint together with the acceleration prior, which is precisely</w:t>
      </w:r>
      <w:r>
        <w:t xml:space="preserve"> </w:t>
      </w:r>
      <w:r>
        <w:t xml:space="preserve">“can I avoid</w:t>
      </w:r>
      <w:r>
        <w:t xml:space="preserve"> </w:t>
      </w:r>
      <w:r>
        <w:t xml:space="preserve">this without harsh braking”</w:t>
      </w:r>
      <w:r>
        <w:t xml:space="preserve">, which is card S1.1’s comfort margin.</w:t>
      </w:r>
    </w:p>
    <w:p>
      <w:r>
        <w:pict>
          <v:rect style="width:0;height:1.5pt" o:hralign="center" o:hrstd="t" o:hr="t"/>
        </w:pict>
      </w:r>
    </w:p>
    <w:bookmarkEnd w:id="13"/>
    <w:bookmarkStart w:id="14" w:name="what-the-comfort-zone-becomes-here"/>
    <w:p>
      <w:pPr>
        <w:pStyle w:val="Heading2"/>
      </w:pPr>
      <w:r>
        <w:t xml:space="preserve">4 What the comfort zone becomes here</w:t>
      </w:r>
    </w:p>
    <w:p>
      <w:pPr>
        <w:pStyle w:val="FirstParagraph"/>
      </w:pPr>
      <w:r>
        <w:t xml:space="preserve">In strand 2 the comfort-zone boundary was sought as a</w:t>
      </w:r>
      <w:r>
        <w:t xml:space="preserve"> </w:t>
      </w:r>
      <w:r>
        <w:rPr>
          <w:b/>
          <w:bCs/>
        </w:rPr>
        <w:t xml:space="preserve">level set of a scalar field</w:t>
      </w:r>
      <w:r>
        <w:t xml:space="preserve"> </w:t>
      </w:r>
      <w:r>
        <w:t xml:space="preserve">evaluated on a</w:t>
      </w:r>
      <w:r>
        <w:t xml:space="preserve"> </w:t>
      </w:r>
      <w:r>
        <w:t xml:space="preserve">frozen scene. Three cards have now shown that cannot work: RE.2 (no constants), RE.4 (no</w:t>
      </w:r>
      <w:r>
        <w:t xml:space="preserve"> </w:t>
      </w:r>
      <w:r>
        <w:t xml:space="preserve">functionals), and the flat ε of RE.1.</w:t>
      </w:r>
    </w:p>
    <w:p>
      <w:pPr>
        <w:pStyle w:val="BodyText"/>
      </w:pPr>
      <w:r>
        <w:t xml:space="preserve">In strand 1 the natural object is different: the agent</w:t>
      </w:r>
      <w:r>
        <w:t xml:space="preserve"> </w:t>
      </w:r>
      <w:r>
        <w:rPr>
          <w:b/>
          <w:bCs/>
        </w:rPr>
        <w:t xml:space="preserve">equilibrates</w:t>
      </w:r>
      <w:r>
        <w:t xml:space="preserve">. Given its preferences and</w:t>
      </w:r>
      <w:r>
        <w:t xml:space="preserve"> </w:t>
      </w:r>
      <w:r>
        <w:t xml:space="preserve">its uncertainty it settles at a speed and a spacing — the paper’s own occlusion result is a speed</w:t>
      </w:r>
      <w:r>
        <w:t xml:space="preserve"> </w:t>
      </w:r>
      <w:r>
        <w:t xml:space="preserve">that dips while uncertain and recovers when the uncertainty resolves. So:</w:t>
      </w:r>
    </w:p>
    <w:p>
      <w:pPr>
        <w:pStyle w:val="BlockText"/>
      </w:pPr>
      <w:r>
        <w:rPr>
          <w:b/>
          <w:bCs/>
        </w:rPr>
        <w:t xml:space="preserve">The comfort-zone boundary is the operating point a driver’s preferences and uncertainty settle</w:t>
      </w:r>
      <w:r>
        <w:rPr>
          <w:b/>
          <w:bCs/>
        </w:rPr>
        <w:t xml:space="preserve"> </w:t>
      </w:r>
      <w:r>
        <w:rPr>
          <w:b/>
          <w:bCs/>
        </w:rPr>
        <w:t xml:space="preserve">at, and a driver’s comfort zone is the set of states from which they do not have to leave that</w:t>
      </w:r>
      <w:r>
        <w:rPr>
          <w:b/>
          <w:bCs/>
        </w:rPr>
        <w:t xml:space="preserve"> </w:t>
      </w:r>
      <w:r>
        <w:rPr>
          <w:b/>
          <w:bCs/>
        </w:rPr>
        <w:t xml:space="preserve">operating point.</w:t>
      </w:r>
    </w:p>
    <w:p>
      <w:pPr>
        <w:pStyle w:val="FirstParagraph"/>
      </w:pPr>
      <w:r>
        <w:t xml:space="preserve">This is why §2 of</w:t>
      </w:r>
      <w:r>
        <w:t xml:space="preserve"> </w:t>
      </w:r>
      <w:r>
        <w:rPr>
          <w:rStyle w:val="VerbatimChar"/>
        </w:rPr>
        <w:t xml:space="preserve">docs/waymo_program_revisit.md</w:t>
      </w:r>
      <w:r>
        <w:t xml:space="preserve"> </w:t>
      </w:r>
      <w:r>
        <w:t xml:space="preserve">stops being an obstacle. That section found that</w:t>
      </w:r>
      <w:r>
        <w:t xml:space="preserve"> </w:t>
      </w:r>
      <w:r>
        <w:t xml:space="preserve">our stimuli pin four of the six released preference factors at exactly zero, because the ego never</w:t>
      </w:r>
      <w:r>
        <w:t xml:space="preserve"> </w:t>
      </w:r>
      <w:r>
        <w:t xml:space="preserve">acts. An equilibrium is not evaluated on a frozen scene — it is</w:t>
      </w:r>
      <w:r>
        <w:t xml:space="preserve"> </w:t>
      </w:r>
      <w:r>
        <w:rPr>
          <w:b/>
          <w:bCs/>
        </w:rPr>
        <w:t xml:space="preserve">simulated</w:t>
      </w:r>
      <w:r>
        <w:t xml:space="preserve">, and a simulated agent</w:t>
      </w:r>
      <w:r>
        <w:t xml:space="preserve"> </w:t>
      </w:r>
      <w:r>
        <w:t xml:space="preserve">does act, so its speed, effort and lane terms come alive. The frozen clip then plays its proper</w:t>
      </w:r>
      <w:r>
        <w:t xml:space="preserve"> </w:t>
      </w:r>
      <w:r>
        <w:t xml:space="preserve">role: a participant saying</w:t>
      </w:r>
      <w:r>
        <w:t xml:space="preserve"> </w:t>
      </w:r>
      <w:r>
        <w:t xml:space="preserve">“I would intervene here”</w:t>
      </w:r>
      <w:r>
        <w:t xml:space="preserve"> </w:t>
      </w:r>
      <w:r>
        <w:t xml:space="preserve">is a datum about where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operating point</w:t>
      </w:r>
      <w:r>
        <w:t xml:space="preserve"> </w:t>
      </w:r>
      <w:r>
        <w:t xml:space="preserve">is, not a regression target for a field.</w:t>
      </w:r>
    </w:p>
    <w:p>
      <w:r>
        <w:pict>
          <v:rect style="width:0;height:1.5pt" o:hralign="center" o:hrstd="t" o:hr="t"/>
        </w:pict>
      </w:r>
    </w:p>
    <w:bookmarkEnd w:id="14"/>
    <w:bookmarkStart w:id="15" w:name="X5aa3191c90a3b1e871aee350328dd3b0c2df26e"/>
    <w:p>
      <w:pPr>
        <w:pStyle w:val="Heading2"/>
      </w:pPr>
      <w:r>
        <w:t xml:space="preserve">5 The build, as a card ladder with pre-stated rules</w:t>
      </w:r>
    </w:p>
    <w:p>
      <w:pPr>
        <w:pStyle w:val="FirstParagraph"/>
      </w:pPr>
      <w:r>
        <w:t xml:space="preserve">Each card can kill the next. Nothing below is authorized.</w:t>
      </w:r>
    </w:p>
    <w:p>
      <w:pPr>
        <w:pStyle w:val="BodyText"/>
      </w:pPr>
      <w:r>
        <w:rPr>
          <w:b/>
          <w:bCs/>
        </w:rPr>
        <w:t xml:space="preserve">S1.3 — the agent, and the paper’s own Scenario 1.</w:t>
      </w:r>
      <w:r>
        <w:t xml:space="preserve"> </w:t>
      </w:r>
      <w:r>
        <w:t xml:space="preserve">Build the strand-1 preference (the four</w:t>
      </w:r>
      <w:r>
        <w:t xml:space="preserve"> </w:t>
      </w:r>
      <w:r>
        <w:t xml:space="preserve">priors of §1, behind flags defaulting to the released behaviour, standing rule 3), the categorical</w:t>
      </w:r>
      <w:r>
        <w:t xml:space="preserve"> </w:t>
      </w:r>
      <w:r>
        <w:t xml:space="preserve">conflict constraint, the context variable and the KDE epistemic term, in</w:t>
      </w:r>
      <w:r>
        <w:t xml:space="preserve"> </w:t>
      </w:r>
      <w:r>
        <w:rPr>
          <w:rStyle w:val="VerbatimChar"/>
        </w:rPr>
        <w:t xml:space="preserve">src/strand1/</w:t>
      </w:r>
      <w:r>
        <w:t xml:space="preserve"> </w:t>
      </w:r>
      <w:r>
        <w:t xml:space="preserve">with</w:t>
      </w:r>
      <w:r>
        <w:t xml:space="preserve"> </w:t>
      </w:r>
      <w:r>
        <w:t xml:space="preserve">property tests in the</w:t>
      </w:r>
      <w:r>
        <w:t xml:space="preserve"> </w:t>
      </w:r>
      <w:r>
        <w:rPr>
          <w:rStyle w:val="VerbatimChar"/>
        </w:rPr>
        <w:t xml:space="preserve">check()</w:t>
      </w:r>
      <w:r>
        <w:t xml:space="preserve"> </w:t>
      </w:r>
      <w:r>
        <w:t xml:space="preserve">style. Then reproduce the paper’s occlusion scenario.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the speed trace must show the dip while uncertain and the recovery after the line of</w:t>
      </w:r>
      <w:r>
        <w:t xml:space="preserve"> </w:t>
      </w:r>
      <w:r>
        <w:t xml:space="preserve">sight, and switching the epistemic term off must remove the lateral move toward the line of sight.</w:t>
      </w:r>
      <w:r>
        <w:t xml:space="preserve"> </w:t>
      </w:r>
      <w:r>
        <w:t xml:space="preserve">Those are the paper’s two qualitative claims and they are what a reconstruction has to earn.</w:t>
      </w:r>
    </w:p>
    <w:p>
      <w:pPr>
        <w:pStyle w:val="BodyText"/>
      </w:pPr>
      <w:r>
        <w:rPr>
          <w:b/>
          <w:bCs/>
        </w:rPr>
        <w:t xml:space="preserve">S1.4 — free following, and this is the cheap one that can stop the line.</w:t>
      </w:r>
      <w:r>
        <w:t xml:space="preserve"> </w:t>
      </w:r>
      <w:r>
        <w:t xml:space="preserve">Card GZ.1 found the</w:t>
      </w:r>
      <w:r>
        <w:t xml:space="preserve"> </w:t>
      </w:r>
      <w:r>
        <w:rPr>
          <w:i/>
          <w:iCs/>
        </w:rPr>
        <w:t xml:space="preserve">released</w:t>
      </w:r>
      <w:r>
        <w:t xml:space="preserve"> </w:t>
      </w:r>
      <w:r>
        <w:t xml:space="preserve">configuration does not hold sustained car following: it brakes after 3–5 s with nothing</w:t>
      </w:r>
      <w:r>
        <w:t xml:space="preserve"> </w:t>
      </w:r>
      <w:r>
        <w:t xml:space="preserve">happening. Run the strand-1 agent behind a constant-speed lead for 60 s at several headways.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no spontaneous braking below −0.5 m/s² in 60 s at a 1.5 s headway, and a settling headway</w:t>
      </w:r>
      <w:r>
        <w:t xml:space="preserve"> </w:t>
      </w:r>
      <w:r>
        <w:t xml:space="preserve">that is finite and repeatable across seeds. If a comfort-zone model cannot sit still behind a lead</w:t>
      </w:r>
      <w:r>
        <w:t xml:space="preserve"> </w:t>
      </w:r>
      <w:r>
        <w:t xml:space="preserve">it cannot have a comfort zone, and the line stops here.</w:t>
      </w:r>
    </w:p>
    <w:p>
      <w:pPr>
        <w:pStyle w:val="BodyText"/>
      </w:pPr>
      <w:r>
        <w:rPr>
          <w:b/>
          <w:bCs/>
        </w:rPr>
        <w:t xml:space="preserve">S1.5 — the boundary as an equilibrium.</w:t>
      </w:r>
      <w:r>
        <w:t xml:space="preserve"> </w:t>
      </w:r>
      <w:r>
        <w:t xml:space="preserve">Sweep the driver’s own constants — the acceleration</w:t>
      </w:r>
      <w:r>
        <w:t xml:space="preserve"> </w:t>
      </w:r>
      <w:r>
        <w:t xml:space="preserve">tolerance σ_a and the assumed worst case — and read off the settling headway and speed.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the settling headway must move monotonically with the effort tolerance, and the range it</w:t>
      </w:r>
      <w:r>
        <w:t xml:space="preserve"> </w:t>
      </w:r>
      <w:r>
        <w:t xml:space="preserve">covers across plausible drivers must contain the headways the studies’ participants accept. If the</w:t>
      </w:r>
      <w:r>
        <w:t xml:space="preserve"> </w:t>
      </w:r>
      <w:r>
        <w:t xml:space="preserve">model equilibrates but always at 0.3 s or always at 4 s, it is not measuring this population.</w:t>
      </w:r>
    </w:p>
    <w:p>
      <w:pPr>
        <w:pStyle w:val="BodyText"/>
      </w:pPr>
      <w:r>
        <w:rPr>
          <w:b/>
          <w:bCs/>
        </w:rPr>
        <w:t xml:space="preserve">S1.6 — the cut-in.</w:t>
      </w:r>
      <w:r>
        <w:t xml:space="preserve"> </w:t>
      </w:r>
      <w:r>
        <w:t xml:space="preserve">Run the agent through the second study’s own stimuli and compare the moment</w:t>
      </w:r>
      <w:r>
        <w:t xml:space="preserve"> </w:t>
      </w:r>
      <w:r>
        <w:t xml:space="preserve">it acts with the moment participants say they would.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the project’s standing one — held-out wRMSE on the 378 cells, the registered folds and</w:t>
      </w:r>
      <w:r>
        <w:t xml:space="preserve"> </w:t>
      </w:r>
      <w:r>
        <w:t xml:space="preserve">metric, against the gated looming rule’s 0.1027 and the gap’s 0.1522.</w:t>
      </w:r>
    </w:p>
    <w:p>
      <w:pPr>
        <w:pStyle w:val="BodyText"/>
      </w:pPr>
      <w:r>
        <w:rPr>
          <w:b/>
          <w:bCs/>
        </w:rPr>
        <w:t xml:space="preserve">S1.7 — per-driver.</w:t>
      </w:r>
      <w:r>
        <w:t xml:space="preserve"> </w:t>
      </w:r>
      <w:r>
        <w:t xml:space="preserve">Only if S1.6 holds: fit the driver’s preference constants per participant,</w:t>
      </w:r>
      <w:r>
        <w:t xml:space="preserve"> </w:t>
      </w:r>
      <w:r>
        <w:t xml:space="preserve">with Wei et al.’s (2023) identifiability treatment adopted rather than rediscovered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docs/waymo_program_revisit.md</w:t>
      </w:r>
      <w:r>
        <w:t xml:space="preserve"> </w:t>
      </w:r>
      <w:r>
        <w:t xml:space="preserve">§4).</w:t>
      </w:r>
      <w:r>
        <w:t xml:space="preserve"> </w:t>
      </w:r>
      <w:r>
        <w:rPr>
          <w:b/>
          <w:bCs/>
        </w:rPr>
        <w:t xml:space="preserve">Rule:</w:t>
      </w:r>
      <w:r>
        <w:t xml:space="preserve"> </w:t>
      </w:r>
      <w:r>
        <w:t xml:space="preserve">card TR.1’s Spearman interval [+0.407, +0.798] for</w:t>
      </w:r>
      <w:r>
        <w:t xml:space="preserve"> </w:t>
      </w:r>
      <w:r>
        <w:t xml:space="preserve">the per-driver levels across two scenarios.</w:t>
      </w:r>
    </w:p>
    <w:p>
      <w:r>
        <w:pict>
          <v:rect style="width:0;height:1.5pt" o:hralign="center" o:hrstd="t" o:hr="t"/>
        </w:pict>
      </w:r>
    </w:p>
    <w:bookmarkEnd w:id="15"/>
    <w:bookmarkStart w:id="16" w:name="X1dd5c2a833277cbb362ac1f3a25a4b62a2777c3"/>
    <w:p>
      <w:pPr>
        <w:pStyle w:val="Heading2"/>
      </w:pPr>
      <w:r>
        <w:t xml:space="preserve">6 What would falsify this, and one thing that already limits it</w:t>
      </w:r>
    </w:p>
    <w:p>
      <w:pPr>
        <w:pStyle w:val="FirstParagraph"/>
      </w:pPr>
      <w:r>
        <w:rPr>
          <w:b/>
          <w:bCs/>
        </w:rPr>
        <w:t xml:space="preserve">Falsification.</w:t>
      </w:r>
      <w:r>
        <w:t xml:space="preserve"> </w:t>
      </w:r>
      <w:r>
        <w:t xml:space="preserve">S1.4 is the cheapest and the most likely to fail: an agent that cannot hold a</w:t>
      </w:r>
      <w:r>
        <w:t xml:space="preserve"> </w:t>
      </w:r>
      <w:r>
        <w:t xml:space="preserve">following distance has no comfort zone. After that, S1.5 — a model that equilibrates but not in the</w:t>
      </w:r>
      <w:r>
        <w:t xml:space="preserve"> </w:t>
      </w:r>
      <w:r>
        <w:t xml:space="preserve">human range is measuring something else. After that, S1.6 on the project’s own metric.</w:t>
      </w:r>
    </w:p>
    <w:p>
      <w:pPr>
        <w:pStyle w:val="BodyText"/>
      </w:pPr>
      <w:r>
        <w:rPr>
          <w:b/>
          <w:bCs/>
        </w:rPr>
        <w:t xml:space="preserve">The limit that is already known, and it is not about the model.</w:t>
      </w:r>
      <w:r>
        <w:t xml:space="preserve"> </w:t>
      </w:r>
      <w:r>
        <w:t xml:space="preserve">Card S1.2 found that the second</w:t>
      </w:r>
      <w:r>
        <w:t xml:space="preserve"> </w:t>
      </w:r>
      <w:r>
        <w:t xml:space="preserve">cut-in study 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design in this project that varies gap and closing speed independently:</w:t>
      </w:r>
      <w:r>
        <w:t xml:space="preserve"> </w:t>
      </w:r>
      <w:r>
        <w:t xml:space="preserve">study 1’s cut-in is one-dimensional (all four axes tried there are rank-identical, Spearman</w:t>
      </w:r>
      <w:r>
        <w:t xml:space="preserve"> </w:t>
      </w:r>
      <w:r>
        <w:t xml:space="preserve">+1.0000), the left turn holds one oncoming speed per cell, the overtake varies lateral clearance.</w:t>
      </w:r>
      <w:r>
        <w:t xml:space="preserve"> </w:t>
      </w:r>
      <w:r>
        <w:t xml:space="preserve">So S1.6 can be run on exactly one design, and any result there cannot be confirmed by transfer</w:t>
      </w:r>
      <w:r>
        <w:t xml:space="preserve"> </w:t>
      </w:r>
      <w:r>
        <w:t xml:space="preserve">within the data we have. That is an argument for a new stimulus set (query WP.Q2) or for the</w:t>
      </w:r>
      <w:r>
        <w:t xml:space="preserve"> </w:t>
      </w:r>
      <w:r>
        <w:t xml:space="preserve">naturalistic data, independent of anything strand 1 does.</w:t>
      </w:r>
    </w:p>
    <w:p>
      <w:r>
        <w:pict>
          <v:rect style="width:0;height:1.5pt" o:hralign="center" o:hrstd="t" o:hr="t"/>
        </w:pict>
      </w:r>
    </w:p>
    <w:bookmarkEnd w:id="16"/>
    <w:bookmarkStart w:id="17" w:name="queries"/>
    <w:p>
      <w:pPr>
        <w:pStyle w:val="Heading2"/>
      </w:pPr>
      <w:r>
        <w:t xml:space="preserve">7 Queries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S13.Q1 (judgment, jonas):</w:t>
      </w:r>
      <w:r>
        <w:t xml:space="preserve"> </w:t>
      </w:r>
      <w:r>
        <w:t xml:space="preserve">build order. S1.4 is the cheap killer and needs only the preference</w:t>
      </w:r>
      <w:r>
        <w:t xml:space="preserve"> </w:t>
      </w:r>
      <w:r>
        <w:t xml:space="preserve">and the planner, not the context variable or the KDE. Build the minimum for S1.4 first and only</w:t>
      </w:r>
      <w:r>
        <w:t xml:space="preserve"> </w:t>
      </w:r>
      <w:r>
        <w:t xml:space="preserve">then the occlusion scenario for S1.3, or reproduce the paper first so that the reconstruction is</w:t>
      </w:r>
      <w:r>
        <w:t xml:space="preserve"> </w:t>
      </w:r>
      <w:r>
        <w:t xml:space="preserve">validated before anything is claimed from it?</w:t>
      </w:r>
      <w:r>
        <w:t xml:space="preserve"> </w:t>
      </w:r>
      <w:r>
        <w:rPr>
          <w:i/>
          <w:iCs/>
        </w:rPr>
        <w:t xml:space="preserve">[Opinion: S1.3 first. A result from an unvalidated</w:t>
      </w:r>
      <w:r>
        <w:rPr>
          <w:i/>
          <w:iCs/>
        </w:rPr>
        <w:t xml:space="preserve"> </w:t>
      </w:r>
      <w:r>
        <w:rPr>
          <w:i/>
          <w:iCs/>
        </w:rPr>
        <w:t xml:space="preserve">reconstruction of somebody else’s model is worth very little, and S1.3 is the only card here that</w:t>
      </w:r>
      <w:r>
        <w:rPr>
          <w:i/>
          <w:iCs/>
        </w:rPr>
        <w:t xml:space="preserve"> </w:t>
      </w:r>
      <w:r>
        <w:rPr>
          <w:i/>
          <w:iCs/>
        </w:rPr>
        <w:t xml:space="preserve">checks the reconstruction against something the authors published.]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S13.Q2 (judgment, jonas):</w:t>
      </w:r>
      <w:r>
        <w:t xml:space="preserve"> </w:t>
      </w:r>
      <w:r>
        <w:t xml:space="preserve">the strand-1 defaults were</w:t>
      </w:r>
      <w:r>
        <w:t xml:space="preserve"> </w:t>
      </w:r>
      <w:r>
        <w:t xml:space="preserve">“set by hand”</w:t>
      </w:r>
      <w:r>
        <w:t xml:space="preserve"> </w:t>
      </w:r>
      <w:r>
        <w:t xml:space="preserve">by the authors for a</w:t>
      </w:r>
      <w:r>
        <w:t xml:space="preserve"> </w:t>
      </w:r>
      <w:r>
        <w:t xml:space="preserve">demonstration. Do we take them as given for S1.4 and S1.5, or is the first thing to do a</w:t>
      </w:r>
      <w:r>
        <w:t xml:space="preserve"> </w:t>
      </w:r>
      <w:r>
        <w:t xml:space="preserve">sensitivity over them? They are not calibrated to anything, so treating them as a reference the</w:t>
      </w:r>
      <w:r>
        <w:t xml:space="preserve"> </w:t>
      </w:r>
      <w:r>
        <w:t xml:space="preserve">way the project has treated the Nature constants would repeat the mistake</w:t>
      </w:r>
      <w:r>
        <w:t xml:space="preserve"> </w:t>
      </w:r>
      <w:r>
        <w:rPr>
          <w:rStyle w:val="VerbatimChar"/>
        </w:rPr>
        <w:t xml:space="preserve">docs/waymo_program_revisit.md</w:t>
      </w:r>
      <w:r>
        <w:t xml:space="preserve"> </w:t>
      </w:r>
      <w:r>
        <w:t xml:space="preserve">§1 describes.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S13.Q3 (minor, review):</w:t>
      </w:r>
      <w:r>
        <w:t xml:space="preserve"> </w:t>
      </w:r>
      <w:r>
        <w:t xml:space="preserve">strand 1 has no norm conditioning at all, while this project has built</w:t>
      </w:r>
      <w:r>
        <w:t xml:space="preserve"> </w:t>
      </w:r>
      <w:r>
        <w:t xml:space="preserve">a cut-in norm (card PN.1,</w:t>
      </w:r>
      <w:r>
        <w:t xml:space="preserve"> </w:t>
      </w:r>
      <w:r>
        <w:rPr>
          <w:rStyle w:val="VerbatimChar"/>
        </w:rPr>
        <w:t xml:space="preserve">src/comfortzone/norms.py</w:t>
      </w:r>
      <w:r>
        <w:t xml:space="preserve">). Does the strand-1 build leave norms out, as</w:t>
      </w:r>
      <w:r>
        <w:t xml:space="preserve"> </w:t>
      </w:r>
      <w:r>
        <w:t xml:space="preserve">the paper does, or is the norm the natural place to put Jonas’s</w:t>
      </w:r>
      <w:r>
        <w:t xml:space="preserve"> </w:t>
      </w:r>
      <w:r>
        <w:t xml:space="preserve">“expecting and accepting a closing</w:t>
      </w:r>
      <w:r>
        <w:t xml:space="preserve"> </w:t>
      </w:r>
      <w:r>
        <w:t xml:space="preserve">speed as long as it is far away”</w:t>
      </w:r>
      <w:r>
        <w:t xml:space="preserve">? The second is a bigger model than the paper’s.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S13.Q4 (judgment, review):</w:t>
      </w:r>
      <w:r>
        <w:t xml:space="preserve"> </w:t>
      </w:r>
      <w:r>
        <w:t xml:space="preserve">the KDE epistemic term is the one piece where a reconstruction can</w:t>
      </w:r>
      <w:r>
        <w:t xml:space="preserve"> </w:t>
      </w:r>
      <w:r>
        <w:t xml:space="preserve">differ from the original silently, because it is an approximation choice inside a term whose scale</w:t>
      </w:r>
      <w:r>
        <w:t xml:space="preserve"> </w:t>
      </w:r>
      <w:r>
        <w:t xml:space="preserve">the released model already gets wrong (</w:t>
      </w:r>
      <w:r>
        <w:rPr>
          <w:rStyle w:val="VerbatimChar"/>
        </w:rPr>
        <w:t xml:space="preserve">docs/method_review.md</w:t>
      </w:r>
      <w:r>
        <w:t xml:space="preserve"> </w:t>
      </w:r>
      <w:r>
        <w:t xml:space="preserve">§6.4). What check would make it</w:t>
      </w:r>
      <w:r>
        <w:t xml:space="preserve"> </w:t>
      </w:r>
      <w:r>
        <w:t xml:space="preserve">trustworthy short of having the authors’ code?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2026-09-22T20:36:40Z</dcterms:created>
  <dcterms:modified xsi:type="dcterms:W3CDTF">2026-09-22T20:36:40Z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