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3eaef2a95a8bdd3b184777e335a3bd18a4ea8f"/>
    <w:p>
      <w:pPr>
        <w:pStyle w:val="Heading1"/>
      </w:pPr>
      <w:r>
        <w:t xml:space="preserve">What the rest of the Waymo active-inference program already solved, and what we missed</w:t>
      </w:r>
    </w:p>
    <w:p>
      <w:pPr>
        <w:pStyle w:val="Heading2"/>
      </w:pPr>
      <w:bookmarkStart w:id="9" w:name="X0651fc30074a26133f12685c69cb4c72a04de91"/>
      <w:r>
        <w:t xml:space="preserve">Revised reading, 2026-09-22 (Jonas’s decision 3: update the documents)</w:t>
      </w:r>
      <w:bookmarkEnd w:id="9"/>
    </w:p>
    <w:p>
      <w:pPr>
        <w:pStyle w:val="BlockText"/>
      </w:pPr>
      <w:r>
        <w:t xml:space="preserve">The literature claims in this note were checked against the papers in</w:t>
      </w:r>
      <w:r>
        <w:t xml:space="preserve"> </w:t>
      </w:r>
      <w:r>
        <w:rPr>
          <w:rStyle w:val="VerbatimChar"/>
        </w:rPr>
        <w:t xml:space="preserve">papers/</w:t>
      </w:r>
      <w:r>
        <w:t xml:space="preserve"> </w:t>
      </w:r>
      <w:r>
        <w:t xml:space="preserve">on 2026-09-22</w:t>
      </w:r>
      <w:r>
        <w:t xml:space="preserve"> </w:t>
      </w:r>
      <w:r>
        <w:t xml:space="preserve">and hold (Table 2’s tolerances,</w:t>
      </w:r>
      <w:r>
        <w:t xml:space="preserve"> </w:t>
      </w:r>
      <w:r>
        <w:t xml:space="preserve">“set by hand”</w:t>
      </w:r>
      <w:r>
        <w:t xml:space="preserve">, the data- and code-availability statements, the</w:t>
      </w:r>
      <w:r>
        <w:t xml:space="preserve"> </w:t>
      </w:r>
      <w:r>
        <w:t xml:space="preserve">poster’s three aspects). Two readings are the project’s own and are marked as such below: that</w:t>
      </w:r>
      <w:r>
        <w:t xml:space="preserve"> </w:t>
      </w:r>
      <w:r>
        <w:t xml:space="preserve">“the program itself locates the comfort zone in strand 1”</w:t>
      </w:r>
      <w:r>
        <w:t xml:space="preserve"> </w:t>
      </w:r>
      <w:r>
        <w:t xml:space="preserve">(§1;</w:t>
      </w:r>
      <w:r>
        <w:t xml:space="preserve"> </w:t>
      </w:r>
      <w:r>
        <w:t xml:space="preserve">“comfort zone”</w:t>
      </w:r>
      <w:r>
        <w:t xml:space="preserve"> </w:t>
      </w:r>
      <w:r>
        <w:t xml:space="preserve">occurs in neither</w:t>
      </w:r>
      <w:r>
        <w:t xml:space="preserve"> </w:t>
      </w:r>
      <w:r>
        <w:t xml:space="preserve">paper, and the only source is</w:t>
      </w:r>
      <w:r>
        <w:t xml:space="preserve"> </w:t>
      </w:r>
      <w:r>
        <w:rPr>
          <w:rStyle w:val="VerbatimChar"/>
        </w:rPr>
        <w:t xml:space="preserve">notes/01_paper_summaries.md</w:t>
      </w:r>
      <w:r>
        <w:t xml:space="preserve">), and §5’s</w:t>
      </w:r>
      <w:r>
        <w:t xml:space="preserve"> </w:t>
      </w:r>
      <w:r>
        <w:t xml:space="preserve">“rewards proximity”</w:t>
      </w:r>
      <w:r>
        <w:t xml:space="preserve">,</w:t>
      </w:r>
      <w:r>
        <w:t xml:space="preserve"> </w:t>
      </w:r>
      <w:r>
        <w:t xml:space="preserve">which its source (</w:t>
      </w:r>
      <w:r>
        <w:rPr>
          <w:rStyle w:val="VerbatimChar"/>
        </w:rPr>
        <w:t xml:space="preserve">docs/method_review.md</w:t>
      </w:r>
      <w:r>
        <w:t xml:space="preserve">) marks as speculation. §6 item 3’s corrections to the</w:t>
      </w:r>
      <w:r>
        <w:t xml:space="preserve"> </w:t>
      </w:r>
      <w:r>
        <w:t xml:space="preserve">reformulation note are now made there (its revised reading of the same date). One thing this note</w:t>
      </w:r>
      <w:r>
        <w:t xml:space="preserve"> </w:t>
      </w:r>
      <w:r>
        <w:t xml:space="preserve">should have said and now does: strand 1 defines conflict as the longitudinal distance falling</w:t>
      </w:r>
      <w:r>
        <w:t xml:space="preserve"> </w:t>
      </w:r>
      <w:r>
        <w:t xml:space="preserve">below</w:t>
      </w:r>
      <w:r>
        <w:t xml:space="preserve"> </w:t>
      </w:r>
      <w:r>
        <w:t xml:space="preserve">“a safe distance (2 m)”</w:t>
      </w:r>
      <w:r>
        <w:t xml:space="preserve"> </w:t>
      </w:r>
      <w:r>
        <w:t xml:space="preserve">(Engström et al., 2024, p. 7), a standoff, which is the better</w:t>
      </w:r>
      <w:r>
        <w:t xml:space="preserve"> </w:t>
      </w:r>
      <w:r>
        <w:t xml:space="preserve">citation for card S1.5’s 2 m.</w:t>
      </w:r>
    </w:p>
    <w:p>
      <w:pPr>
        <w:pStyle w:val="FirstParagraph"/>
      </w:pPr>
      <w:r>
        <w:rPr>
          <w:i/>
          <w:iCs/>
        </w:rPr>
        <w:t xml:space="preserve">2026-09-18, on Jonas’s instruction:</w:t>
      </w:r>
      <w:r>
        <w:rPr>
          <w:i/>
          <w:iCs/>
        </w:rPr>
        <w:t xml:space="preserve"> </w:t>
      </w:r>
      <w:r>
        <w:rPr>
          <w:i/>
          <w:iCs/>
        </w:rPr>
        <w:t xml:space="preserve">“revisit the other Waymo relevant papers and consider if there</w:t>
      </w:r>
      <w:r>
        <w:rPr>
          <w:i/>
          <w:iCs/>
        </w:rPr>
        <w:t xml:space="preserve"> </w:t>
      </w:r>
      <w:r>
        <w:rPr>
          <w:i/>
          <w:iCs/>
        </w:rPr>
        <w:t xml:space="preserve">is something we missed in our way of thinking so that what we want fits into what they have done.”</w:t>
      </w:r>
    </w:p>
    <w:p>
      <w:pPr>
        <w:pStyle w:val="BodyText"/>
      </w:pPr>
      <w:r>
        <w:rPr>
          <w:b/>
          <w:bCs/>
        </w:rPr>
        <w:t xml:space="preserve">Status: a review note, not a card. Nothing here is authorized.</w:t>
      </w:r>
      <w:r>
        <w:t xml:space="preserve"> </w:t>
      </w:r>
      <w:r>
        <w:t xml:space="preserve">Every claim carries its source.</w:t>
      </w:r>
      <w:r>
        <w:t xml:space="preserve"> </w:t>
      </w:r>
      <w:r>
        <w:t xml:space="preserve">Opinions are marked. Sources are the extracted paper texts in</w:t>
      </w:r>
      <w:r>
        <w:t xml:space="preserve"> </w:t>
      </w:r>
      <w:r>
        <w:rPr>
          <w:rStyle w:val="VerbatimChar"/>
        </w:rPr>
        <w:t xml:space="preserve">notes/paper_text/</w:t>
      </w:r>
      <w:r>
        <w:t xml:space="preserve">, the summaries in</w:t>
      </w:r>
      <w:r>
        <w:t xml:space="preserve"> </w:t>
      </w:r>
      <w:r>
        <w:rPr>
          <w:rStyle w:val="VerbatimChar"/>
        </w:rPr>
        <w:t xml:space="preserve">notes/01_paper_summaries.md</w:t>
      </w:r>
      <w:r>
        <w:t xml:space="preserve">, the deposit-derived numbers in</w:t>
      </w:r>
      <w:r>
        <w:t xml:space="preserve"> </w:t>
      </w:r>
      <w:r>
        <w:rPr>
          <w:rStyle w:val="VerbatimChar"/>
        </w:rPr>
        <w:t xml:space="preserve">replication/osf/review/</w:t>
      </w:r>
      <w:r>
        <w:t xml:space="preserve">, and this</w:t>
      </w:r>
      <w:r>
        <w:t xml:space="preserve"> </w:t>
      </w:r>
      <w:r>
        <w:t xml:space="preserve">project’s own cards.</w:t>
      </w:r>
    </w:p>
    <w:p>
      <w:r>
        <w:pict>
          <v:rect style="width:0;height:1.5pt" o:hralign="center" o:hrstd="t" o:hr="t"/>
        </w:pict>
      </w:r>
    </w:p>
    <w:bookmarkStart w:id="10" w:name="the-short-version"/>
    <w:p>
      <w:pPr>
        <w:pStyle w:val="Heading2"/>
      </w:pPr>
      <w:r>
        <w:t xml:space="preserve">0 The short version</w:t>
      </w:r>
    </w:p>
    <w:p>
      <w:pPr>
        <w:pStyle w:val="FirstParagraph"/>
      </w:pPr>
      <w:r>
        <w:t xml:space="preserve">The program has</w:t>
      </w:r>
      <w:r>
        <w:t xml:space="preserve"> </w:t>
      </w:r>
      <w:r>
        <w:rPr>
          <w:b/>
          <w:bCs/>
        </w:rPr>
        <w:t xml:space="preserve">three strands</w:t>
      </w:r>
      <w:r>
        <w:t xml:space="preserve">, and the IWAI 2024 poster by Engström et al. lays them out:</w:t>
      </w:r>
      <w:r>
        <w:t xml:space="preserve"> </w:t>
      </w:r>
      <w:r>
        <w:t xml:space="preserve">managing uncertainty; responding to urgent conflicts; social interaction. This project took the</w:t>
      </w:r>
      <w:r>
        <w:t xml:space="preserve"> </w:t>
      </w:r>
      <w:r>
        <w:t xml:space="preserve">model from strand 2 — Schumann et al.’s collision-avoidance model — and used it to measure the</w:t>
      </w:r>
      <w:r>
        <w:t xml:space="preserve"> </w:t>
      </w:r>
      <w:r>
        <w:rPr>
          <w:b/>
          <w:bCs/>
        </w:rPr>
        <w:t xml:space="preserve">comfort zone</w:t>
      </w:r>
      <w:r>
        <w:t xml:space="preserve">, which the program itself locates in strand 1.</w:t>
      </w:r>
      <w:r>
        <w:t xml:space="preserve"> </w:t>
      </w:r>
      <w:r>
        <w:rPr>
          <w:rStyle w:val="VerbatimChar"/>
        </w:rPr>
        <w:t xml:space="preserve">notes/01_paper_summaries.md</w:t>
      </w:r>
      <w:r>
        <w:t xml:space="preserve"> </w:t>
      </w:r>
      <w:r>
        <w:t xml:space="preserve">says</w:t>
      </w:r>
      <w:r>
        <w:t xml:space="preserve"> </w:t>
      </w:r>
      <w:r>
        <w:t xml:space="preserve">so in its own words about the strand-1 scenarios:</w:t>
      </w:r>
      <w:r>
        <w:t xml:space="preserve"> </w:t>
      </w:r>
      <w:r>
        <w:rPr>
          <w:i/>
          <w:iCs/>
        </w:rPr>
        <w:t xml:space="preserve">“Both are non-critical scenarios — the</w:t>
      </w:r>
      <w:r>
        <w:rPr>
          <w:i/>
          <w:iCs/>
        </w:rPr>
        <w:t xml:space="preserve"> </w:t>
      </w:r>
      <w:r>
        <w:rPr>
          <w:i/>
          <w:iCs/>
        </w:rPr>
        <w:t xml:space="preserve">comfort-zone regime, not the collision-avoidance regime.”</w:t>
      </w:r>
      <w:r>
        <w:t xml:space="preserve"> </w:t>
      </w:r>
      <w:r>
        <w:t xml:space="preserve">That sentence has been in the repository</w:t>
      </w:r>
      <w:r>
        <w:t xml:space="preserve"> </w:t>
      </w:r>
      <w:r>
        <w:t xml:space="preserve">since 2026-08-17 and nothing since has acted on it.</w:t>
      </w:r>
    </w:p>
    <w:p>
      <w:pPr>
        <w:pStyle w:val="BodyText"/>
      </w:pPr>
      <w:r>
        <w:t xml:space="preserve">Four things follow, and the third and fourth are the ones I would have wanted a month ago.</w:t>
      </w:r>
    </w:p>
    <w:p>
      <w:r>
        <w:pict>
          <v:rect style="width:0;height:1.5pt" o:hralign="center" o:hrstd="t" o:hr="t"/>
        </w:pict>
      </w:r>
    </w:p>
    <w:bookmarkEnd w:id="10"/>
    <w:bookmarkStart w:id="11" w:name="X5a6e7b84392e5212add0cf5f185fce2232190b0"/>
    <w:p>
      <w:pPr>
        <w:pStyle w:val="Heading2"/>
      </w:pPr>
      <w:r>
        <w:t xml:space="preserve">1 We used the collision-avoidance model to measure comfort</w:t>
      </w:r>
    </w:p>
    <w:p>
      <w:pPr>
        <w:pStyle w:val="FirstParagraph"/>
      </w:pPr>
      <w:r>
        <w:t xml:space="preserve">Schumann et al.’s preference function is catastrophe-dominated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: collision −10 000,</w:t>
      </w:r>
      <w:r>
        <w:t xml:space="preserve"> </w:t>
      </w:r>
      <w:r>
        <w:t xml:space="preserve">road edge −15 000, the braking-margin indicator −10 000 × severity. Card RE.2 measured what that</w:t>
      </w:r>
      <w:r>
        <w:t xml:space="preserve"> </w:t>
      </w:r>
      <w:r>
        <w:t xml:space="preserve">means on our stimuli: the speed, acceleration, steering and lane factors contribute</w:t>
      </w:r>
      <w:r>
        <w:t xml:space="preserve"> </w:t>
      </w:r>
      <w:r>
        <w:rPr>
          <w:b/>
          <w:bCs/>
        </w:rPr>
        <w:t xml:space="preserve">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under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(−1.2e-14 at every one of 378 cells), so ε is the collision factor plus the</w:t>
      </w:r>
      <w:r>
        <w:t xml:space="preserve"> </w:t>
      </w:r>
      <w:r>
        <w:t xml:space="preserve">safety factor and nothing else — which is also the deposit’s own result for benign following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docs/method_review.md</w:t>
      </w:r>
      <w:r>
        <w:t xml:space="preserve"> </w:t>
      </w:r>
      <w:r>
        <w:t xml:space="preserve">§4.2, collision/safety share 1.000).</w:t>
      </w:r>
    </w:p>
    <w:p>
      <w:pPr>
        <w:pStyle w:val="BodyText"/>
      </w:pPr>
      <w:r>
        <w:t xml:space="preserve">We read that as a defect. It is better read as</w:t>
      </w:r>
      <w:r>
        <w:t xml:space="preserve"> </w:t>
      </w:r>
      <w:r>
        <w:rPr>
          <w:b/>
          <w:bCs/>
        </w:rPr>
        <w:t xml:space="preserve">the model working in the regime it was built for</w:t>
      </w:r>
      <w:r>
        <w:t xml:space="preserve">.</w:t>
      </w:r>
      <w:r>
        <w:t xml:space="preserve"> </w:t>
      </w:r>
      <w:r>
        <w:t xml:space="preserve">A collision-avoidance model whose comfort terms did not vanish next to its catastrophe terms would</w:t>
      </w:r>
      <w:r>
        <w:t xml:space="preserve"> </w:t>
      </w:r>
      <w:r>
        <w:t xml:space="preserve">be a badly-built collision-avoidance model.</w:t>
      </w:r>
    </w:p>
    <w:p>
      <w:pPr>
        <w:pStyle w:val="BodyText"/>
      </w:pPr>
      <w:r>
        <w:t xml:space="preserve">The strand-1 model (Engström et al. 2024,</w:t>
      </w:r>
      <w:r>
        <w:t xml:space="preserve"> </w:t>
      </w:r>
      <w:r>
        <w:rPr>
          <w:i/>
          <w:iCs/>
        </w:rPr>
        <w:t xml:space="preserve">Resolving uncertainty on the fly</w:t>
      </w:r>
      <w:r>
        <w:t xml:space="preserve">, Front. Neurorobot.</w:t>
      </w:r>
      <w:r>
        <w:t xml:space="preserve"> </w:t>
      </w:r>
      <w:r>
        <w:t xml:space="preserve">18:1341750) is the one whose subject is the progress-versus-caution trade-off — slowing while</w:t>
      </w:r>
      <w:r>
        <w:t xml:space="preserve"> </w:t>
      </w:r>
      <w:r>
        <w:t xml:space="preserve">uncertain, speeding up once the uncertainty resolves, moving laterally to gain line of sight. That</w:t>
      </w:r>
      <w:r>
        <w:t xml:space="preserve"> </w:t>
      </w:r>
      <w:r>
        <w:t xml:space="preserve">is a comfort-zone model in everything but name.</w:t>
      </w:r>
    </w:p>
    <w:p>
      <w:r>
        <w:pict>
          <v:rect style="width:0;height:1.5pt" o:hralign="center" o:hrstd="t" o:hr="t"/>
        </w:pict>
      </w:r>
    </w:p>
    <w:bookmarkEnd w:id="11"/>
    <w:bookmarkStart w:id="12" w:name="Xd06bf6f3eb2c5f784e4cdb5ed311b0e29806ba5"/>
    <w:p>
      <w:pPr>
        <w:pStyle w:val="Heading2"/>
      </w:pPr>
      <w:r>
        <w:t xml:space="preserve">2 Our stimuli cannot see the comfort-zone terms at all</w:t>
      </w:r>
    </w:p>
    <w:p>
      <w:pPr>
        <w:pStyle w:val="FirstParagraph"/>
      </w:pPr>
      <w:r>
        <w:t xml:space="preserve">This one is about our design, not their model, and it is the sharpest practical finding here.</w:t>
      </w:r>
    </w:p>
    <w:p>
      <w:pPr>
        <w:pStyle w:val="BodyText"/>
      </w:pPr>
      <w:r>
        <w:t xml:space="preserve">In both video studies</w:t>
      </w:r>
      <w:r>
        <w:t xml:space="preserve"> </w:t>
      </w:r>
      <w:r>
        <w:rPr>
          <w:b/>
          <w:bCs/>
        </w:rPr>
        <w:t xml:space="preserve">the ego holds a constant speed in its own lane and never acts</w:t>
      </w:r>
      <w:r>
        <w:t xml:space="preserve">. So under</w:t>
      </w:r>
      <w:r>
        <w:t xml:space="preserve"> </w:t>
      </w:r>
      <w:r>
        <w:t xml:space="preserve">the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policy the ego is exactly at its desired speed, exactly at zero acceleration, exactly</w:t>
      </w:r>
      <w:r>
        <w:t xml:space="preserve"> </w:t>
      </w:r>
      <w:r>
        <w:t xml:space="preserve">at zero steering, exactly at the lane centre. The four preference factors that carry the</w:t>
      </w:r>
      <w:r>
        <w:t xml:space="preserve"> </w:t>
      </w:r>
      <w:r>
        <w:t xml:space="preserve">progress-versus-caution trade-off are therefore</w:t>
      </w:r>
      <w:r>
        <w:t xml:space="preserve"> </w:t>
      </w:r>
      <w:r>
        <w:rPr>
          <w:b/>
          <w:bCs/>
        </w:rPr>
        <w:t xml:space="preserve">structurally pinned at zero</w:t>
      </w:r>
      <w:r>
        <w:t xml:space="preserve">, not small — zero to</w:t>
      </w:r>
      <w:r>
        <w:t xml:space="preserve"> </w:t>
      </w:r>
      <w:r>
        <w:t xml:space="preserve">machine precision, which is what RE.2 measured without my seeing what it meant at the time.</w:t>
      </w:r>
    </w:p>
    <w:p>
      <w:pPr>
        <w:pStyle w:val="BodyText"/>
      </w:pPr>
      <w:r>
        <w:t xml:space="preserve">Whatever a comfort-zone boundary is in this framework, our stimulus set cannot express the half of</w:t>
      </w:r>
      <w:r>
        <w:t xml:space="preserve"> </w:t>
      </w:r>
      <w:r>
        <w:t xml:space="preserve">it that is about what the driver gives up. A participant watching a clip has no speed to lose, no</w:t>
      </w:r>
      <w:r>
        <w:t xml:space="preserve"> </w:t>
      </w:r>
      <w:r>
        <w:t xml:space="preserve">effort to spend and no lane to leave.</w:t>
      </w:r>
      <w:r>
        <w:t xml:space="preserve"> </w:t>
      </w:r>
      <w:r>
        <w:rPr>
          <w:i/>
          <w:iCs/>
        </w:rPr>
        <w:t xml:space="preserve">[Opinion: this is the most actionable thing in this note. It</w:t>
      </w:r>
      <w:r>
        <w:rPr>
          <w:i/>
          <w:iCs/>
        </w:rPr>
        <w:t xml:space="preserve"> </w:t>
      </w:r>
      <w:r>
        <w:rPr>
          <w:i/>
          <w:iCs/>
        </w:rPr>
        <w:t xml:space="preserve">says a future study should show the ego trading something — a speed choice, a lane choice, a gap</w:t>
      </w:r>
      <w:r>
        <w:rPr>
          <w:i/>
          <w:iCs/>
        </w:rPr>
        <w:t xml:space="preserve"> </w:t>
      </w:r>
      <w:r>
        <w:rPr>
          <w:i/>
          <w:iCs/>
        </w:rPr>
        <w:t xml:space="preserve">acceptance — rather than only judging a scene it cannot act in.]</w:t>
      </w:r>
    </w:p>
    <w:p>
      <w:r>
        <w:pict>
          <v:rect style="width:0;height:1.5pt" o:hralign="center" o:hrstd="t" o:hr="t"/>
        </w:pict>
      </w:r>
    </w:p>
    <w:bookmarkEnd w:id="12"/>
    <w:bookmarkStart w:id="13" w:name="Xf5264253c7ca9d4c72a606998caa4c096a4bba8"/>
    <w:p>
      <w:pPr>
        <w:pStyle w:val="Heading2"/>
      </w:pPr>
      <w:r>
        <w:t xml:space="preserve">3 The reference distribution we said does not exist, exists — in strand 1’s companion paper</w:t>
      </w:r>
    </w:p>
    <w:p>
      <w:pPr>
        <w:pStyle w:val="FirstParagraph"/>
      </w:pPr>
      <w:r>
        <w:t xml:space="preserve">Card RE.1 and the R.2 pipeline review both concluded that every surprise measure needs a reference</w:t>
      </w:r>
      <w:r>
        <w:t xml:space="preserve"> </w:t>
      </w:r>
      <w:r>
        <w:t xml:space="preserve">distribution and that the field was ours.</w:t>
      </w:r>
      <w:r>
        <w:t xml:space="preserve"> </w:t>
      </w:r>
      <w:r>
        <w:rPr>
          <w:b/>
          <w:bCs/>
        </w:rPr>
        <w:t xml:space="preserve">Dinparastdjadid, Supeene &amp; Engström (2023),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Measuring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surprise in the wild</w:t>
      </w:r>
      <w:r>
        <w:rPr>
          <w:b/>
          <w:bCs/>
        </w:rPr>
        <w:t xml:space="preserve"> </w:t>
      </w:r>
      <w:r>
        <w:rPr>
          <w:b/>
          <w:bCs/>
        </w:rPr>
        <w:t xml:space="preserve">(arXiv 2305.07733), builds exactly that reference distribution</w:t>
      </w:r>
      <w:r>
        <w:t xml:space="preserve"> </w:t>
      </w:r>
      <w:r>
        <w:t xml:space="preserve">and does it</w:t>
      </w:r>
      <w:r>
        <w:t xml:space="preserve"> </w:t>
      </w:r>
      <w:r>
        <w:t xml:space="preserve">from naturalistic data: the belief is a</w:t>
      </w:r>
      <w:r>
        <w:t xml:space="preserve"> </w:t>
      </w:r>
      <w:r>
        <w:rPr>
          <w:b/>
          <w:bCs/>
        </w:rPr>
        <w:t xml:space="preserve">learned trajectory predictor</w:t>
      </w:r>
      <w:r>
        <w:t xml:space="preserve"> </w:t>
      </w:r>
      <w:r>
        <w:t xml:space="preserve">(MultiPath-style, Wayformer</w:t>
      </w:r>
      <w:r>
        <w:t xml:space="preserve"> </w:t>
      </w:r>
      <w:r>
        <w:t xml:space="preserve">encoder) emitting a Gaussian mixture over each agent’s future position per timestep, decomposed into</w:t>
      </w:r>
      <w:r>
        <w:t xml:space="preserve"> </w:t>
      </w:r>
      <w:r>
        <w:t xml:space="preserve">lateral and longitudinal components in a body frame.</w:t>
      </w:r>
    </w:p>
    <w:p>
      <w:pPr>
        <w:pStyle w:val="BodyText"/>
      </w:pPr>
      <w:r>
        <w:t xml:space="preserve">Two things in that paper bear directly on where this project now stands.</w:t>
      </w:r>
    </w:p>
    <w:p>
      <w:pPr>
        <w:pStyle w:val="BodyText"/>
      </w:pPr>
      <w:r>
        <w:rPr>
          <w:b/>
          <w:bCs/>
        </w:rPr>
        <w:t xml:space="preserve">(a) The measure we have been computing is theirs, and it is the right one.</w:t>
      </w:r>
      <w:r>
        <w:t xml:space="preserve"> </w:t>
      </w:r>
      <w:r>
        <w:t xml:space="preserve">Their</w:t>
      </w:r>
      <w:r>
        <w:t xml:space="preserve"> </w:t>
      </w:r>
      <w:r>
        <w:rPr>
          <w:i/>
          <w:iCs/>
        </w:rPr>
        <w:t xml:space="preserve">residual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  <w:r>
        <w:t xml:space="preserve">, log(max_x’ P(x’)) − log P(x), is what the Nature model accumulates as evidence and is</w:t>
      </w:r>
      <w:r>
        <w:t xml:space="preserve"> </w:t>
      </w:r>
      <w:r>
        <w:t xml:space="preserve">exactly what</w:t>
      </w:r>
      <w:r>
        <w:t xml:space="preserve"> </w:t>
      </w:r>
      <w:r>
        <w:rPr>
          <w:rStyle w:val="VerbatimChar"/>
        </w:rPr>
        <w:t xml:space="preserve">policy_surprise</w:t>
      </w:r>
      <w:r>
        <w:t xml:space="preserve"> </w:t>
      </w:r>
      <w:r>
        <w:t xml:space="preserve">and our</w:t>
      </w:r>
      <w:r>
        <w:t xml:space="preserve"> </w:t>
      </w:r>
      <w:r>
        <w:rPr>
          <w:rStyle w:val="VerbatimChar"/>
        </w:rPr>
        <w:t xml:space="preserve">G(continue)</w:t>
      </w:r>
      <w:r>
        <w:t xml:space="preserve"> </w:t>
      </w:r>
      <w:r>
        <w:t xml:space="preserve">compute (card RE.1 §0 checked the identity to</w:t>
      </w:r>
      <w:r>
        <w:t xml:space="preserve"> </w:t>
      </w:r>
      <w:r>
        <w:t xml:space="preserve">7e-16).</w:t>
      </w:r>
      <w:r>
        <w:t xml:space="preserve"> </w:t>
      </w:r>
      <w:r>
        <w:rPr>
          <w:i/>
          <w:iCs/>
        </w:rPr>
        <w:t xml:space="preserve">[2026-09-22: 2.5e-07 in the tracked report; the identity holds in practice]</w:t>
      </w:r>
      <w:r>
        <w:t xml:space="preserve"> </w:t>
      </w:r>
      <w:r>
        <w:t xml:space="preserve">So the measure was never the problem.</w:t>
      </w:r>
      <w:r>
        <w:t xml:space="preserve"> </w:t>
      </w:r>
      <w:r>
        <w:rPr>
          <w:b/>
          <w:bCs/>
        </w:rPr>
        <w:t xml:space="preserve">The distribution it is computed against was.</w:t>
      </w:r>
      <w:r>
        <w:t xml:space="preserve"> </w:t>
      </w:r>
      <w:r>
        <w:t xml:space="preserve">In</w:t>
      </w:r>
      <w:r>
        <w:t xml:space="preserve"> </w:t>
      </w:r>
      <w:r>
        <w:t xml:space="preserve">the 2026 model that distribution is a hand-written, per-scenario norm weight (</w:t>
      </w:r>
      <w:r>
        <w:rPr>
          <w:rStyle w:val="VerbatimChar"/>
        </w:rPr>
        <w:t xml:space="preserve">reward.py</w:t>
      </w:r>
      <w:r>
        <w:t xml:space="preserve"> </w:t>
      </w:r>
      <w:r>
        <w:t xml:space="preserve">/</w:t>
      </w:r>
      <w:r>
        <w:t xml:space="preserve"> </w:t>
      </w:r>
      <w:r>
        <w:t xml:space="preserve">SI Eqs. 23–27); in the 2023 paper it is learned from data.</w:t>
      </w:r>
    </w:p>
    <w:p>
      <w:pPr>
        <w:pStyle w:val="BodyText"/>
      </w:pPr>
      <w:r>
        <w:rPr>
          <w:b/>
          <w:bCs/>
        </w:rPr>
        <w:t xml:space="preserve">(b) Their conflict definition is Jonas’s two-factor hypothesis, already published.</w:t>
      </w:r>
      <w:r>
        <w:t xml:space="preserve"> </w:t>
      </w:r>
      <w:r>
        <w:t xml:space="preserve">The paper’s</w:t>
      </w:r>
      <w:r>
        <w:t xml:space="preserve"> </w:t>
      </w:r>
      <w:r>
        <w:t xml:space="preserve">first named application is traffic-conflict definition conditioned on</w:t>
      </w:r>
      <w:r>
        <w:t xml:space="preserve"> </w:t>
      </w:r>
      <w:r>
        <w:rPr>
          <w:b/>
          <w:bCs/>
        </w:rPr>
        <w:t xml:space="preserve">surprise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spatiotemporal proximity</w:t>
      </w:r>
      <w:r>
        <w:t xml:space="preserve">, and the summary in</w:t>
      </w:r>
      <w:r>
        <w:t xml:space="preserve"> </w:t>
      </w:r>
      <w:r>
        <w:rPr>
          <w:rStyle w:val="VerbatimChar"/>
        </w:rPr>
        <w:t xml:space="preserve">notes/01_paper_summaries.md</w:t>
      </w:r>
      <w:r>
        <w:t xml:space="preserve"> </w:t>
      </w:r>
      <w:r>
        <w:t xml:space="preserve">records the reason:</w:t>
      </w:r>
      <w:r>
        <w:t xml:space="preserve"> </w:t>
      </w:r>
      <w:r>
        <w:t xml:space="preserve">it cuts false positives, because</w:t>
      </w:r>
      <w:r>
        <w:t xml:space="preserve"> </w:t>
      </w:r>
      <w:r>
        <w:rPr>
          <w:i/>
          <w:iCs/>
        </w:rPr>
        <w:t xml:space="preserve">an intentional small-TTC overtake is not a conflict</w:t>
      </w:r>
      <w:r>
        <w:t xml:space="preserve">. That is</w:t>
      </w:r>
      <w:r>
        <w:t xml:space="preserve"> </w:t>
      </w:r>
      <w:r>
        <w:t xml:space="preserve">Jonas’s</w:t>
      </w:r>
      <w:r>
        <w:t xml:space="preserve"> </w:t>
      </w:r>
      <w:r>
        <w:t xml:space="preserve">“people expect and accept a closing speed as long as it is far away”</w:t>
      </w:r>
      <w:r>
        <w:t xml:space="preserve">, in their own program,</w:t>
      </w:r>
      <w:r>
        <w:t xml:space="preserve"> </w:t>
      </w:r>
      <w:r>
        <w:t xml:space="preserve">with the ISO/TR 21974-1</w:t>
      </w:r>
      <w:r>
        <w:t xml:space="preserve"> </w:t>
      </w:r>
      <w:r>
        <w:t xml:space="preserve">“not premeditated”</w:t>
      </w:r>
      <w:r>
        <w:t xml:space="preserve"> </w:t>
      </w:r>
      <w:r>
        <w:t xml:space="preserve">requirement as its justification.</w:t>
      </w:r>
    </w:p>
    <w:p>
      <w:pPr>
        <w:pStyle w:val="BodyText"/>
      </w:pPr>
      <w:r>
        <w:t xml:space="preserve">So the two-factor structure is not a new proposal to be defended. It is the program’s own, and this</w:t>
      </w:r>
      <w:r>
        <w:t xml:space="preserve"> </w:t>
      </w:r>
      <w:r>
        <w:t xml:space="preserve">project has been trying to do with one scalar what they do with two — one of which needs a learned</w:t>
      </w:r>
      <w:r>
        <w:t xml:space="preserve"> </w:t>
      </w:r>
      <w:r>
        <w:t xml:space="preserve">predictor we do not have.</w:t>
      </w:r>
    </w:p>
    <w:p>
      <w:r>
        <w:pict>
          <v:rect style="width:0;height:1.5pt" o:hralign="center" o:hrstd="t" o:hr="t"/>
        </w:pict>
      </w:r>
    </w:p>
    <w:bookmarkEnd w:id="13"/>
    <w:bookmarkStart w:id="14" w:name="Xdba4eb7a527e79c99bd2227b9a49133314d150a"/>
    <w:p>
      <w:pPr>
        <w:pStyle w:val="Heading2"/>
      </w:pPr>
      <w:r>
        <w:t xml:space="preserve">4 Fitting a driver’s preferences from data is also solved, including the trap</w:t>
      </w:r>
    </w:p>
    <w:p>
      <w:pPr>
        <w:pStyle w:val="FirstParagraph"/>
      </w:pPr>
      <w:r>
        <w:t xml:space="preserve">The reformulation note (</w:t>
      </w:r>
      <w:r>
        <w:rPr>
          <w:rStyle w:val="VerbatimChar"/>
        </w:rPr>
        <w:t xml:space="preserve">docs/active_inference_reformulation.md</w:t>
      </w:r>
      <w:r>
        <w:t xml:space="preserve"> </w:t>
      </w:r>
      <w:r>
        <w:t xml:space="preserve">§3) proposes inferring each</w:t>
      </w:r>
      <w:r>
        <w:t xml:space="preserve"> </w:t>
      </w:r>
      <w:r>
        <w:t xml:space="preserve">driver’s preference parameters from their responses rather than assuming the authors’.</w:t>
      </w:r>
      <w:r>
        <w:t xml:space="preserve"> </w:t>
      </w:r>
      <w:r>
        <w:rPr>
          <w:b/>
          <w:bCs/>
        </w:rPr>
        <w:t xml:space="preserve">Wei,</w:t>
      </w:r>
      <w:r>
        <w:rPr>
          <w:b/>
          <w:bCs/>
        </w:rPr>
        <w:t xml:space="preserve"> </w:t>
      </w:r>
      <w:r>
        <w:rPr>
          <w:b/>
          <w:bCs/>
        </w:rPr>
        <w:t xml:space="preserve">Garcia, McDonald, Markkula, Engström &amp; O’Kelly (2023)</w:t>
      </w:r>
      <w:r>
        <w:t xml:space="preserve"> </w:t>
      </w:r>
      <w:r>
        <w:t xml:space="preserve">did that: internal model and preferences</w:t>
      </w:r>
      <w:r>
        <w:t xml:space="preserve"> </w:t>
      </w:r>
      <w:r>
        <w:t xml:space="preserve">both estimated from demonstrations as an inverse-RL problem under partial observability.</w:t>
      </w:r>
    </w:p>
    <w:p>
      <w:pPr>
        <w:pStyle w:val="BodyText"/>
      </w:pPr>
      <w:r>
        <w:t xml:space="preserve">They also name the trap the note walked past:</w:t>
      </w:r>
      <w:r>
        <w:t xml:space="preserve"> </w:t>
      </w:r>
      <w:r>
        <w:rPr>
          <w:b/>
          <w:bCs/>
        </w:rPr>
        <w:t xml:space="preserve">non-identifiability</w:t>
      </w:r>
      <w:r>
        <w:t xml:space="preserve"> </w:t>
      </w:r>
      <w:r>
        <w:t xml:space="preserve">— many (reward, internal</w:t>
      </w:r>
      <w:r>
        <w:t xml:space="preserve"> </w:t>
      </w:r>
      <w:r>
        <w:t xml:space="preserve">model) pairs rationalize the same demonstrations. Their resolution is a structural prior: preferences</w:t>
      </w:r>
      <w:r>
        <w:t xml:space="preserve"> </w:t>
      </w:r>
      <w:r>
        <w:t xml:space="preserve">and world model independent, and the world-model parameters restricted to values with high data</w:t>
      </w:r>
      <w:r>
        <w:t xml:space="preserve"> </w:t>
      </w:r>
      <w:r>
        <w:t xml:space="preserve">log-likelihood. Their reported failure mode is ours in mirror image: the model is inaccurate in</w:t>
      </w:r>
      <w:r>
        <w:t xml:space="preserve"> </w:t>
      </w:r>
      <w:r>
        <w:t xml:space="preserve">extreme scenarios because the naturalistic dataset contains no collisions.</w:t>
      </w:r>
    </w:p>
    <w:p>
      <w:pPr>
        <w:pStyle w:val="BodyText"/>
      </w:pPr>
      <w:r>
        <w:rPr>
          <w:i/>
          <w:iCs/>
        </w:rPr>
        <w:t xml:space="preserve">[Opinion: the reformulation note should not propose a per-driver preference fit without adopting</w:t>
      </w:r>
      <w:r>
        <w:rPr>
          <w:i/>
          <w:iCs/>
        </w:rPr>
        <w:t xml:space="preserve"> </w:t>
      </w:r>
      <w:r>
        <w:rPr>
          <w:i/>
          <w:iCs/>
        </w:rPr>
        <w:t xml:space="preserve">their identifiability treatment, and should cite their failure mode as the reason the video studies’</w:t>
      </w:r>
      <w:r>
        <w:rPr>
          <w:i/>
          <w:iCs/>
        </w:rPr>
        <w:t xml:space="preserve"> </w:t>
      </w:r>
      <w:r>
        <w:rPr>
          <w:i/>
          <w:iCs/>
        </w:rPr>
        <w:t xml:space="preserve">critical cells are worth having at all.]</w:t>
      </w:r>
    </w:p>
    <w:p>
      <w:r>
        <w:pict>
          <v:rect style="width:0;height:1.5pt" o:hralign="center" o:hrstd="t" o:hr="t"/>
        </w:pict>
      </w:r>
    </w:p>
    <w:bookmarkEnd w:id="14"/>
    <w:bookmarkStart w:id="15" w:name="one-configuration-error-of-our-own"/>
    <w:p>
      <w:pPr>
        <w:pStyle w:val="Heading2"/>
      </w:pPr>
      <w:r>
        <w:t xml:space="preserve">5 One configuration error of our own</w:t>
      </w:r>
    </w:p>
    <w:p>
      <w:pPr>
        <w:pStyle w:val="FirstParagraph"/>
      </w:pPr>
      <w:r>
        <w:t xml:space="preserve">Design note §1.4 fixes epistemic value at</w:t>
      </w:r>
      <w:r>
        <w:t xml:space="preserve"> </w:t>
      </w:r>
      <w:r>
        <w:rPr>
          <w:b/>
          <w:bCs/>
        </w:rPr>
        <w:t xml:space="preserve">α = 0</w:t>
      </w:r>
      <w:r>
        <w:t xml:space="preserve"> </w:t>
      </w:r>
      <w:r>
        <w:t xml:space="preserve">in the primary analysis and calls that</w:t>
      </w:r>
      <w:r>
        <w:t xml:space="preserve"> </w:t>
      </w:r>
      <w:r>
        <w:t xml:space="preserve">“the</w:t>
      </w:r>
      <w:r>
        <w:t xml:space="preserve"> </w:t>
      </w:r>
      <w:r>
        <w:t xml:space="preserve">authors’ validated configuration”</w:t>
      </w:r>
      <w:r>
        <w:t xml:space="preserve">. The deposit says otherwise: the epistemic component runs</w:t>
      </w:r>
      <w:r>
        <w:t xml:space="preserve"> </w:t>
      </w:r>
      <w:r>
        <w:rPr>
          <w:b/>
          <w:bCs/>
        </w:rPr>
        <w:t xml:space="preserve">+1745</w:t>
      </w:r>
      <w:r>
        <w:rPr>
          <w:b/>
          <w:bCs/>
        </w:rPr>
        <w:t xml:space="preserve"> </w:t>
      </w:r>
      <w:r>
        <w:rPr>
          <w:b/>
          <w:bCs/>
        </w:rPr>
        <w:t xml:space="preserve">to +1941 per step</w:t>
      </w:r>
      <w:r>
        <w:t xml:space="preserve"> </w:t>
      </w:r>
      <w:r>
        <w:t xml:space="preserve">in benign following, against −0.003 for the velocity preference and −2 for</w:t>
      </w:r>
      <w:r>
        <w:t xml:space="preserve"> </w:t>
      </w:r>
      <w:r>
        <w:t xml:space="preserve">control effort (</w:t>
      </w:r>
      <w:r>
        <w:rPr>
          <w:rStyle w:val="VerbatimChar"/>
        </w:rPr>
        <w:t xml:space="preserve">replication/osf/review/benign_eps.csv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docs/method_review.md</w:t>
      </w:r>
      <w:r>
        <w:t xml:space="preserve"> </w:t>
      </w:r>
      <w:r>
        <w:t xml:space="preserve">§6.4, which adds</w:t>
      </w:r>
      <w:r>
        <w:t xml:space="preserve"> </w:t>
      </w:r>
      <w:r>
        <w:t xml:space="preserve">that</w:t>
      </w:r>
      <w:r>
        <w:t xml:space="preserve"> </w:t>
      </w:r>
      <w:r>
        <w:t xml:space="preserve">“in the benign regime the epistemic term can outweigh the terms that are supposed to shape</w:t>
      </w:r>
      <w:r>
        <w:t xml:space="preserve"> </w:t>
      </w:r>
      <w:r>
        <w:t xml:space="preserve">following”</w:t>
      </w:r>
      <w:r>
        <w:t xml:space="preserve">). The released baseline has it on; the paper’s ablations are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ε itself is α-independent —</w:t>
      </w:r>
      <w:r>
        <w:t xml:space="preserve"> </w:t>
      </w:r>
      <w:r>
        <w:rPr>
          <w:rStyle w:val="VerbatimChar"/>
        </w:rPr>
        <w:t xml:space="preserve">policy_surprise</w:t>
      </w:r>
      <w:r>
        <w:t xml:space="preserve"> </w:t>
      </w:r>
      <w:r>
        <w:t xml:space="preserve">computes the pragmatic part only — so cards JJ.2,</w:t>
      </w:r>
      <w:r>
        <w:t xml:space="preserve"> </w:t>
      </w:r>
      <w:r>
        <w:t xml:space="preserve">JJ.3, RE.2 and RE.3 are unaffected. What is affected is every quantity that went through the</w:t>
      </w:r>
      <w:r>
        <w:t xml:space="preserve"> </w:t>
      </w:r>
      <w:r>
        <w:t xml:space="preserve">planner: RE.1 part C and card JJ.2b’s planner pass both ran α = 0.</w:t>
      </w:r>
    </w:p>
    <w:p>
      <w:pPr>
        <w:pStyle w:val="BodyText"/>
      </w:pPr>
      <w:r>
        <w:t xml:space="preserve">And the direction matters for a comfort-zone question: under looming perception a closer approach</w:t>
      </w:r>
      <w:r>
        <w:t xml:space="preserve"> </w:t>
      </w:r>
      <w:r>
        <w:t xml:space="preserve">sharpens the observation, so the epistemic term</w:t>
      </w:r>
      <w:r>
        <w:t xml:space="preserve"> </w:t>
      </w:r>
      <w:r>
        <w:rPr>
          <w:b/>
          <w:bCs/>
        </w:rPr>
        <w:t xml:space="preserve">rewards proximity</w:t>
      </w:r>
      <w:r>
        <w:t xml:space="preserve">. The one term that would pull</w:t>
      </w:r>
      <w:r>
        <w:t xml:space="preserve"> </w:t>
      </w:r>
      <w:r>
        <w:t xml:space="preserve">a driver toward the boundary has been switched off throughout.</w:t>
      </w:r>
    </w:p>
    <w:p>
      <w:r>
        <w:pict>
          <v:rect style="width:0;height:1.5pt" o:hralign="center" o:hrstd="t" o:hr="t"/>
        </w:pict>
      </w:r>
    </w:p>
    <w:bookmarkEnd w:id="15"/>
    <w:bookmarkStart w:id="16" w:name="what-this-changes-in-order"/>
    <w:p>
      <w:pPr>
        <w:pStyle w:val="Heading2"/>
      </w:pPr>
      <w:r>
        <w:t xml:space="preserve">6 What this changes, in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 1 as agreed (σ_a from QUADRIS) survives and gains motivation.</w:t>
      </w:r>
      <w:r>
        <w:t xml:space="preserve"> </w:t>
      </w:r>
      <w:r>
        <w:t xml:space="preserve">Under strand 1 the</w:t>
      </w:r>
      <w:r>
        <w:t xml:space="preserve"> </w:t>
      </w:r>
      <w:r>
        <w:t xml:space="preserve">uncertainty about what the other will do is not a nuisance constant — it is the engine of the</w:t>
      </w:r>
      <w:r>
        <w:t xml:space="preserve"> </w:t>
      </w:r>
      <w:r>
        <w:t xml:space="preserve">progress-versus-caution trade-off. See §7.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 2, the data specification, should be rewritten against strand 1</w:t>
      </w:r>
      <w:r>
        <w:t xml:space="preserve">, not only against the</w:t>
      </w:r>
      <w:r>
        <w:t xml:space="preserve"> </w:t>
      </w:r>
      <w:r>
        <w:t xml:space="preserve">norm: what we need is what a learned predictor needs, which is the 2023 paper’s own recipe.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reformulation note needs three corrections</w:t>
      </w:r>
      <w:r>
        <w:t xml:space="preserve">: the strand-1/strand-2 point (§1), Wei et al.’s</w:t>
      </w:r>
      <w:r>
        <w:t xml:space="preserve"> </w:t>
      </w:r>
      <w:r>
        <w:t xml:space="preserve">identifiability treatment (§4), and the α error 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future stimulus design</w:t>
      </w:r>
      <w:r>
        <w:t xml:space="preserve"> </w:t>
      </w:r>
      <w:r>
        <w:t xml:space="preserve">should let the ego trade something (§2).</w:t>
      </w:r>
    </w:p>
    <w:p>
      <w:r>
        <w:pict>
          <v:rect style="width:0;height:1.5pt" o:hralign="center" o:hrstd="t" o:hr="t"/>
        </w:pict>
      </w:r>
    </w:p>
    <w:bookmarkEnd w:id="16"/>
    <w:bookmarkStart w:id="17" w:name="queries"/>
    <w:p>
      <w:pPr>
        <w:pStyle w:val="Heading2"/>
      </w:pPr>
      <w:r>
        <w:t xml:space="preserve">7 Queries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WP.Q1 (judgment, jonas):</w:t>
      </w:r>
      <w:r>
        <w:t xml:space="preserve"> </w:t>
      </w:r>
      <w:r>
        <w:t xml:space="preserve">should the project re-point at the strand-1 model (Engström et al.</w:t>
      </w:r>
    </w:p>
    <w:p>
      <w:pPr>
        <w:pStyle w:val="Compact"/>
        <w:numPr>
          <w:ilvl w:val="0"/>
          <w:numId w:val="1000"/>
        </w:numPr>
      </w:pPr>
      <w:r>
        <w:t xml:space="preserve">2024) as the comfort-zone instrument, with Schumann et al. kept for the critical regime? That is a</w:t>
      </w:r>
      <w:r>
        <w:t xml:space="preserve"> </w:t>
      </w:r>
      <w:r>
        <w:t xml:space="preserve">larger change than anything proposed so far and it would supersede parts of the reformulation note.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WP.Q2 (judgment, jonas):</w:t>
      </w:r>
      <w:r>
        <w:t xml:space="preserve"> </w:t>
      </w:r>
      <w:r>
        <w:t xml:space="preserve">§2 says our stimuli structurally pin four of the six preference</w:t>
      </w:r>
      <w:r>
        <w:t xml:space="preserve"> </w:t>
      </w:r>
      <w:r>
        <w:t xml:space="preserve">factors at zero. Is a stimulus set in which the ego trades something worth specifying now, while</w:t>
      </w:r>
      <w:r>
        <w:t xml:space="preserve"> </w:t>
      </w:r>
      <w:r>
        <w:t xml:space="preserve">the naturalistic request is being written?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WP.Q3 (minor, review):</w:t>
      </w:r>
      <w:r>
        <w:t xml:space="preserve"> </w:t>
      </w:r>
      <w:r>
        <w:t xml:space="preserve">design note §1.4’s</w:t>
      </w:r>
      <w:r>
        <w:t xml:space="preserve"> </w:t>
      </w:r>
      <w:r>
        <w:t xml:space="preserve">“α = 0, the authors’ validated configuration”</w:t>
      </w:r>
      <w:r>
        <w:t xml:space="preserve"> </w:t>
      </w:r>
      <w:r>
        <w:t xml:space="preserve">is</w:t>
      </w:r>
      <w:r>
        <w:t xml:space="preserve"> </w:t>
      </w:r>
      <w:r>
        <w:t xml:space="preserve">contradicted by the deposit. The designing session owns that document; flag or correct?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WP.Q4 (judgment, review):</w:t>
      </w:r>
      <w:r>
        <w:t xml:space="preserve"> </w:t>
      </w:r>
      <w:r>
        <w:t xml:space="preserve">is the learned-predictor reference of Dinparastdjadid et al. (2023)</w:t>
      </w:r>
      <w:r>
        <w:t xml:space="preserve"> </w:t>
      </w:r>
      <w:r>
        <w:t xml:space="preserve">something this project could build on highD/exiD when the data arrive, or does it need Waymo-scale</w:t>
      </w:r>
      <w:r>
        <w:t xml:space="preserve"> </w:t>
      </w:r>
      <w:r>
        <w:t xml:space="preserve">data to be worth anything? The answer decides whether §3 is a route or a citation.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2026-09-22T20:36:37Z</dcterms:created>
  <dcterms:modified xsi:type="dcterms:W3CDTF">2026-09-22T20:36:37Z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