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771756b01f4c57cc86ba2be2a8d5e6be5dca8a"/>
    <w:p>
      <w:pPr>
        <w:pStyle w:val="Heading1"/>
      </w:pPr>
      <w:r>
        <w:t xml:space="preserve">Crash causation with an active-inference response process: method and first results</w:t>
      </w:r>
    </w:p>
    <w:p>
      <w:pPr>
        <w:pStyle w:val="FirstParagraph"/>
      </w:pPr>
      <w:r>
        <w:t xml:space="preserve">Results document, 2026-08-24. Prepared by Claude at the request of Jonas Bärgman. Markdown</w:t>
      </w:r>
      <w:r>
        <w:t xml:space="preserve"> </w:t>
      </w:r>
      <w:r>
        <w:t xml:space="preserve">is the source; Word and PDF are generated from it. This document reports what has been</w:t>
      </w:r>
      <w:r>
        <w:t xml:space="preserve"> </w:t>
      </w:r>
      <w:r>
        <w:rPr>
          <w:i/>
          <w:iCs/>
        </w:rPr>
        <w:t xml:space="preserve">found</w:t>
      </w:r>
      <w:r>
        <w:t xml:space="preserve">; the design, the reading notes on the source papers, and the protocol live in</w:t>
      </w:r>
      <w:r>
        <w:t xml:space="preserve"> </w:t>
      </w:r>
      <w:r>
        <w:rPr>
          <w:rStyle w:val="VerbatimChar"/>
        </w:rPr>
        <w:t xml:space="preserve">docs/crash_causation_plan.md</w:t>
      </w:r>
      <w:r>
        <w:t xml:space="preserve"> </w:t>
      </w:r>
      <w:r>
        <w:t xml:space="preserve">and are only summarized here. Provenance tags as elsewhere:</w:t>
      </w:r>
      <w:r>
        <w:t xml:space="preserve"> </w:t>
      </w:r>
      <w:r>
        <w:t xml:space="preserve">[B24] Bärgman, Svärd, Lundell &amp; Hartelius (2024), [W25a] [W26] the Wu et al. papers,</w:t>
      </w:r>
      <w:r>
        <w:t xml:space="preserve"> </w:t>
      </w:r>
      <w:r>
        <w:t xml:space="preserve">[Code] the Schumann et al. released code, [OSF] their deposit, [Repo] this repository,</w:t>
      </w:r>
      <w:r>
        <w:t xml:space="preserve"> </w:t>
      </w:r>
      <w:r>
        <w:t xml:space="preserve">[Opinion] a judgment.</w:t>
      </w:r>
    </w:p>
    <w:p>
      <w:r>
        <w:pict>
          <v:rect style="width:0;height:1.5pt" o:hralign="center" o:hrstd="t" o:hr="t"/>
        </w:pict>
      </w:r>
    </w:p>
    <w:bookmarkStart w:id="9" w:name="X1f1a5bb1feba11f6fda7d1d554aae8c69d5382a"/>
    <w:p>
      <w:pPr>
        <w:pStyle w:val="Heading2"/>
      </w:pPr>
      <w:r>
        <w:t xml:space="preserve">1 The method in one page</w:t>
      </w:r>
    </w:p>
    <w:p>
      <w:pPr>
        <w:pStyle w:val="FirstParagraph"/>
      </w:pPr>
      <w:r>
        <w:t xml:space="preserve">The question: can the active-inference driver model serve as the</w:t>
      </w:r>
      <w:r>
        <w:t xml:space="preserve"> </w:t>
      </w:r>
      <w:r>
        <w:rPr>
          <w:i/>
          <w:iCs/>
        </w:rPr>
        <w:t xml:space="preserve">response process</w:t>
      </w:r>
      <w:r>
        <w:t xml:space="preserve"> </w:t>
      </w:r>
      <w:r>
        <w:t xml:space="preserve">inside</w:t>
      </w:r>
      <w:r>
        <w:t xml:space="preserve"> </w:t>
      </w:r>
      <w:r>
        <w:t xml:space="preserve">a crash-causation model — and what does it add or cost relative to the fixed-delay response</w:t>
      </w:r>
      <w:r>
        <w:t xml:space="preserve"> </w:t>
      </w:r>
      <w:r>
        <w:t xml:space="preserve">of the crash-causation model (CBM) of [B24]?</w:t>
      </w:r>
    </w:p>
    <w:p>
      <w:pPr>
        <w:pStyle w:val="BodyText"/>
      </w:pPr>
      <w:r>
        <w:t xml:space="preserve">The construction, following the plan: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Seeds.</w:t>
      </w:r>
      <w:r>
        <w:t xml:space="preserve"> </w:t>
      </w:r>
      <w:r>
        <w:t xml:space="preserve">100 rear-end pre-crash scenarios sampled weight-proportionally (stratified by</w:t>
      </w:r>
      <w:r>
        <w:t xml:space="preserve"> </w:t>
      </w:r>
      <w:r>
        <w:t xml:space="preserve">initial speed) from the 5 000 synthetic QUADRIS scenarios of [W25a]; every seed carries</w:t>
      </w:r>
      <w:r>
        <w:t xml:space="preserve"> </w:t>
      </w:r>
      <w:r>
        <w:t xml:space="preserve">its real-world weight ω.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Causation components</w:t>
      </w:r>
      <w:r>
        <w:t xml:space="preserve"> </w:t>
      </w:r>
      <w:r>
        <w:t xml:space="preserve">([B24]'s four mechanisms, each switchable): off-road glances</w:t>
      </w:r>
      <w:r>
        <w:t xml:space="preserve"> </w:t>
      </w:r>
      <w:r>
        <w:t xml:space="preserve">(duration distribution + a placement rule), too-close following (inherent in the seed),</w:t>
      </w:r>
      <w:r>
        <w:t xml:space="preserve"> </w:t>
      </w:r>
      <w:r>
        <w:t xml:space="preserve">a maximum-deceleration cap, and a post-hoc no-response mixture (10% of crashes).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response processes</w:t>
      </w:r>
      <w:r>
        <w:t xml:space="preserve"> </w:t>
      </w:r>
      <w:r>
        <w:t xml:space="preserve">behind one interface: the CBM's (respond 0.5 s after eyes</w:t>
      </w:r>
      <w:r>
        <w:t xml:space="preserve"> </w:t>
      </w:r>
      <w:r>
        <w:t xml:space="preserve">return to the road; ramp to the drawn deceleration) and a tier-1 surrogate of the active</w:t>
      </w:r>
      <w:r>
        <w:t xml:space="preserve"> </w:t>
      </w:r>
      <w:r>
        <w:t xml:space="preserve">inference driver (the model's own preference function evaluated on the seed kinematics,</w:t>
      </w:r>
      <w:r>
        <w:t xml:space="preserve"> </w:t>
      </w:r>
      <w:r>
        <w:t xml:space="preserve">fed through its evidence accumulator with the drift rate calibrated on the authors' 896</w:t>
      </w:r>
      <w:r>
        <w:t xml:space="preserve"> </w:t>
      </w:r>
      <w:r>
        <w:t xml:space="preserve">deposited trials — the calibration reproduces 69% of the closed-loop brake onsets within</w:t>
      </w:r>
      <w:r>
        <w:t xml:space="preserve"> </w:t>
      </w:r>
      <w:r>
        <w:t xml:space="preserve">±0.2 s [Repo]).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Conditions.</w:t>
      </w:r>
      <w:r>
        <w:t xml:space="preserve"> </w:t>
      </w:r>
      <w:r>
        <w:t xml:space="preserve">A: attentive active inference, no glances (the benchmark). B: active</w:t>
      </w:r>
      <w:r>
        <w:t xml:space="preserve"> </w:t>
      </w:r>
      <w:r>
        <w:t xml:space="preserve">inference + all components. C: CBM response + all components (the control — a</w:t>
      </w:r>
      <w:r>
        <w:t xml:space="preserve"> </w:t>
      </w:r>
      <w:r>
        <w:t xml:space="preserve">near-relative of the QUADRIS generator). D: active inference + glances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Per-seed bin sweep</w:t>
      </w:r>
      <w:r>
        <w:t xml:space="preserve"> </w:t>
      </w:r>
      <w:r>
        <w:t xml:space="preserve">instead of Monte Carlo (the [B24] design): each seed is run</w:t>
      </w:r>
      <w:r>
        <w:t xml:space="preserve"> </w:t>
      </w:r>
      <w:r>
        <w:t xml:space="preserve">through every glance bin and every deceleration bin; outcomes carry the bin</w:t>
      </w:r>
      <w:r>
        <w:t xml:space="preserve"> </w:t>
      </w:r>
      <w:r>
        <w:t xml:space="preserve">probabilities, so each seed yields a crash</w:t>
      </w:r>
      <w:r>
        <w:t xml:space="preserve"> </w:t>
      </w:r>
      <w:r>
        <w:rPr>
          <w:i/>
          <w:iCs/>
        </w:rPr>
        <w:t xml:space="preserve">probability</w:t>
      </w:r>
      <w:r>
        <w:t xml:space="preserve">, and avoided outcomes are</w:t>
      </w:r>
      <w:r>
        <w:t xml:space="preserve"> </w:t>
      </w:r>
      <w:r>
        <w:t xml:space="preserve">first-class results.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</w:t>
      </w:r>
      <w:r>
        <w:t xml:space="preserve"> </w:t>
      </w:r>
      <w:r>
        <w:t xml:space="preserve">against the full 5 000-scenario reference with the practical-equivalence</w:t>
      </w:r>
      <w:r>
        <w:t xml:space="preserve"> </w:t>
      </w:r>
      <w:r>
        <w:t xml:space="preserve">framework of [W26]: quantile-binned statistics θ (worst bin) and Θ (aggregate), ROPEs</w:t>
      </w:r>
      <w:r>
        <w:t xml:space="preserve"> </w:t>
      </w:r>
      <w:r>
        <w:t xml:space="preserve">0.10 and 0.05, bootstrap HDIs; crashes weighted by [W26] Eq. 10, plus an exposure-weight</w:t>
      </w:r>
      <w:r>
        <w:t xml:space="preserve"> </w:t>
      </w:r>
      <w:r>
        <w:t xml:space="preserve">variant that divides out each seed's crash probability (plan §6b).</w:t>
      </w:r>
    </w:p>
    <w:p>
      <w:pPr>
        <w:pStyle w:val="FirstParagraph"/>
      </w:pPr>
      <w:r>
        <w:t xml:space="preserve">Everything below uses the</w:t>
      </w:r>
      <w:r>
        <w:t xml:space="preserve"> </w:t>
      </w:r>
      <w:r>
        <w:rPr>
          <w:b/>
          <w:bCs/>
        </w:rPr>
        <w:t xml:space="preserve">digitized real distributions</w:t>
      </w:r>
      <w:r>
        <w:t xml:space="preserve"> </w:t>
      </w:r>
      <w:r>
        <w:t xml:space="preserve">of section 2, not the earlier</w:t>
      </w:r>
      <w:r>
        <w:t xml:space="preserve"> </w:t>
      </w:r>
      <w:r>
        <w:t xml:space="preserve">parametric stand-ins; the stand-in results are kept in</w:t>
      </w:r>
      <w:r>
        <w:t xml:space="preserve"> </w:t>
      </w:r>
      <w:r>
        <w:rPr>
          <w:rStyle w:val="VerbatimChar"/>
        </w:rPr>
        <w:t xml:space="preserve">replication/causation/out/</w:t>
      </w:r>
      <w:r>
        <w:t xml:space="preserve"> </w:t>
      </w:r>
      <w:r>
        <w:t xml:space="preserve">(untagged files) for comparison.</w:t>
      </w:r>
    </w:p>
    <w:bookmarkEnd w:id="9"/>
    <w:bookmarkStart w:id="13" w:name="X721b0fa4092b8d490d73250bae7578c99655bb7"/>
    <w:p>
      <w:pPr>
        <w:pStyle w:val="Heading2"/>
      </w:pPr>
      <w:r>
        <w:t xml:space="preserve">2 Input distributions, digitized from the published figures</w:t>
      </w:r>
    </w:p>
    <w:p>
      <w:pPr>
        <w:pStyle w:val="FirstParagraph"/>
      </w:pPr>
      <w:r>
        <w:t xml:space="preserve">The SHRP2 data behind [B24] are not shareable, so the two input distributions were</w:t>
      </w:r>
      <w:r>
        <w:t xml:space="preserve"> </w:t>
      </w:r>
      <w:r>
        <w:t xml:space="preserve">digitized from the published figures (</w:t>
      </w:r>
      <w:r>
        <w:rPr>
          <w:rStyle w:val="VerbatimChar"/>
        </w:rPr>
        <w:t xml:space="preserve">replication/causation/digitize_b24.py</w:t>
      </w:r>
      <w:r>
        <w:t xml:space="preserve">; outputs in</w:t>
      </w:r>
      <w:r>
        <w:t xml:space="preserve"> </w:t>
      </w:r>
      <w:r>
        <w:rPr>
          <w:rStyle w:val="VerbatimChar"/>
        </w:rPr>
        <w:t xml:space="preserve">replication/causation/data/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Off-road glance durations</w:t>
      </w:r>
      <w:r>
        <w:t xml:space="preserve"> </w:t>
      </w:r>
      <w:r>
        <w:t xml:space="preserve">([B24] Fig. 1, SHRP2 baseline): the figure is vector art,</w:t>
      </w:r>
      <w:r>
        <w:t xml:space="preserve"> </w:t>
      </w:r>
      <w:r>
        <w:t xml:space="preserve">so bar geometry is exact. Two independent calibrations of the value axis — tick-label</w:t>
      </w:r>
      <w:r>
        <w:t xml:space="preserve"> </w:t>
      </w:r>
      <w:r>
        <w:t xml:space="preserve">geometry and the requirement that the drawn (off-road-conditional) distribution sum</w:t>
      </w:r>
      <w:r>
        <w:t xml:space="preserve"> </w:t>
      </w:r>
      <w:r>
        <w:t xml:space="preserve">to 1 — agree within 0.9%. The drawn bins extend to 3.75 s; the published longest glance</w:t>
      </w:r>
      <w:r>
        <w:t xml:space="preserve"> </w:t>
      </w:r>
      <w:r>
        <w:t xml:space="preserve">is 6.7 s, so a small tail (below the figure's resolution, &lt; 0.001 per bin) is truncated.</w:t>
      </w:r>
      <w:r>
        <w:t xml:space="preserve"> </w:t>
      </w:r>
      <w:r>
        <w:t xml:space="preserve">The on-road point mass is 0.80 (the figure's broken-axis tick; the caption states the</w:t>
      </w:r>
      <w:r>
        <w:t xml:space="preserve"> </w:t>
      </w:r>
      <w:r>
        <w:t xml:space="preserve">CDF "would start at that value").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Maximum decelerations</w:t>
      </w:r>
      <w:r>
        <w:t xml:space="preserve"> </w:t>
      </w:r>
      <w:r>
        <w:t xml:space="preserve">([B24] Fig. 3, 45 SHRP2 crashes, 1.5 m/s² bins): digitized</w:t>
      </w:r>
      <w:r>
        <w:t xml:space="preserve"> </w:t>
      </w:r>
      <w:r>
        <w:t xml:space="preserve">from pixels and forced to integer counts — 6, 11, 12, 11, 4, 1 across bins from 3 to</w:t>
      </w:r>
      <w:r>
        <w:t xml:space="preserve"> </w:t>
      </w:r>
      <w:r>
        <w:t xml:space="preserve">12 m/s², which sum to exactly the paper's n = 45.</w:t>
      </w:r>
    </w:p>
    <w:p>
      <w:pPr>
        <w:pStyle w:val="FirstParagraph"/>
      </w:pPr>
      <w:r>
        <w:drawing>
          <wp:inline>
            <wp:extent cx="5334000" cy="1946189"/>
            <wp:effectExtent b="0" l="0" r="0" t="0"/>
            <wp:docPr descr="Digitized input distributions against the earlier stand-ins" title="" id="11" name="Picture"/>
            <a:graphic>
              <a:graphicData uri="http://schemas.openxmlformats.org/drawingml/2006/picture">
                <pic:pic>
                  <pic:nvPicPr>
                    <pic:cNvPr descr="causation_figures/fig_inpu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figure shows both against the stand-ins used before today. The glance stand-in was</w:t>
      </w:r>
      <w:r>
        <w:t xml:space="preserve"> </w:t>
      </w:r>
      <w:r>
        <w:t xml:space="preserve">close (its mode sits ~0.2 s early); the deceleration stand-in was not — the real</w:t>
      </w:r>
      <w:r>
        <w:t xml:space="preserve"> </w:t>
      </w:r>
      <w:r>
        <w:t xml:space="preserve">distribution has substantially more mass at hard braking (24% at 7.5 m/s² and above,</w:t>
      </w:r>
      <w:r>
        <w:t xml:space="preserve"> </w:t>
      </w:r>
      <w:r>
        <w:t xml:space="preserve">where the stand-in had almost none). This matters below.</w:t>
      </w:r>
    </w:p>
    <w:bookmarkEnd w:id="13"/>
    <w:bookmarkStart w:id="14" w:name="X340a8785839b9c518b28d3061e199074ca7744a"/>
    <w:p>
      <w:pPr>
        <w:pStyle w:val="Heading2"/>
      </w:pPr>
      <w:r>
        <w:t xml:space="preserve">3 Crash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seeds crashing (any bin)</w:t>
            </w:r>
          </w:p>
        </w:tc>
        <w:tc>
          <w:tcPr/>
          <w:p>
            <w:pPr>
              <w:pStyle w:val="Compact"/>
            </w:pPr>
            <w:r>
              <w:t xml:space="preserve">weighted crash prob</w:t>
            </w:r>
          </w:p>
        </w:tc>
        <w:tc>
          <w:tcPr/>
          <w:p>
            <w:pPr>
              <w:pStyle w:val="Compact"/>
            </w:pPr>
            <w:r>
              <w:t xml:space="preserve">avoided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decel. cap</w:t>
            </w:r>
          </w:p>
        </w:tc>
        <w:tc>
          <w:tcPr/>
          <w:p>
            <w:pPr>
              <w:pStyle w:val="Compact"/>
            </w:pPr>
            <w:r>
              <w:t xml:space="preserve">23/100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100/100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CBM (control)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85/100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</w:t>
            </w:r>
          </w:p>
        </w:tc>
        <w:tc>
          <w:tcPr/>
          <w:p>
            <w:pPr>
              <w:pStyle w:val="Compact"/>
            </w:pPr>
            <w:r>
              <w:t xml:space="preserve">100/100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With the renewal-process glance placement (plan §6c; the default for the active-inference</w:t>
      </w:r>
      <w:r>
        <w:t xml:space="preserve"> </w:t>
      </w:r>
      <w:r>
        <w:t xml:space="preserve">conditions): C 0.003 (51/100 seeds), D 0.021 (96/100).</w:t>
      </w:r>
    </w:p>
    <w:p>
      <w:pPr>
        <w:pStyle w:val="BodyText"/>
      </w:pPr>
      <w:r>
        <w:t xml:space="preserve">Findings: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attentive active-inference driver avoids 77 of 100 QUADRIS crash seeds</w:t>
      </w:r>
      <w:r>
        <w:t xml:space="preserve"> </w:t>
      </w:r>
      <w:r>
        <w:t xml:space="preserve">across</w:t>
      </w:r>
      <w:r>
        <w:t xml:space="preserve"> </w:t>
      </w:r>
      <w:r>
        <w:t xml:space="preserve">the full real deceleration sweep (up from 51 with the stand-in distribution — the real</w:t>
      </w:r>
      <w:r>
        <w:t xml:space="preserve"> </w:t>
      </w:r>
      <w:r>
        <w:t xml:space="preserve">distribution's harder decelerations avoid more). The 23 that still crash in some bin</w:t>
      </w:r>
      <w:r>
        <w:t xml:space="preserve"> </w:t>
      </w:r>
      <w:r>
        <w:t xml:space="preserve">are the kinematically hard core.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response process drives a factor ~4 in crash probability</w:t>
      </w:r>
      <w:r>
        <w:t xml:space="preserve">: B (active inference)</w:t>
      </w:r>
      <w:r>
        <w:t xml:space="preserve"> </w:t>
      </w:r>
      <w:r>
        <w:t xml:space="preserve">0.012 versus C (CBM) 0.003 with identical causation components. The mechanism is</w:t>
      </w:r>
      <w:r>
        <w:t xml:space="preserve"> </w:t>
      </w:r>
      <w:r>
        <w:t xml:space="preserve">timing: the active-inference accumulator responds at a median of 1.25 s after the</w:t>
      </w:r>
      <w:r>
        <w:t xml:space="preserve"> </w:t>
      </w:r>
      <w:r>
        <w:t xml:space="preserve">τ⁻¹ = 0.2 s⁻¹ anchor (IQR 0.55–1.90 s), where the CBM responds at a fixed 0.50 s</w:t>
      </w:r>
      <w:r>
        <w:t xml:space="preserve"> </w:t>
      </w:r>
      <w:r>
        <w:t xml:space="preserve">(section 5).</w:t>
      </w:r>
    </w:p>
    <w:p>
      <w:pPr>
        <w:pStyle w:val="Compact"/>
        <w:numPr>
          <w:ilvl w:val="0"/>
          <w:numId w:val="1003"/>
        </w:numPr>
      </w:pPr>
      <w:r>
        <w:t xml:space="preserve">The no-response mixture (B versus D) barely moves the aggregates at its 10% share, as</w:t>
      </w:r>
      <w:r>
        <w:t xml:space="preserve"> </w:t>
      </w:r>
      <w:r>
        <w:t xml:space="preserve">expected from its post-hoc construction.</w:t>
      </w:r>
    </w:p>
    <w:bookmarkEnd w:id="14"/>
    <w:bookmarkStart w:id="21" w:name="X47a4b700e31e68028811ab4fce23a3fff08364a"/>
    <w:p>
      <w:pPr>
        <w:pStyle w:val="Heading2"/>
      </w:pPr>
      <w:r>
        <w:t xml:space="preserve">4 Comparison with the original data</w:t>
      </w:r>
    </w:p>
    <w:bookmarkStart w:id="15" w:name="X5a4e2d8eb412dfd56959f719133e5803f42b7bb"/>
    <w:p>
      <w:pPr>
        <w:pStyle w:val="Heading3"/>
      </w:pPr>
      <w:r>
        <w:t xml:space="preserve">4.1 Summary statistics</w:t>
      </w:r>
    </w:p>
    <w:p>
      <w:pPr>
        <w:pStyle w:val="FirstParagraph"/>
      </w:pPr>
      <w:r>
        <w:t xml:space="preserve">Weighted medians (weighted mean for P_inj); reference weighted by ω, conditions by the</w:t>
      </w:r>
      <w:r>
        <w:t xml:space="preserve"> </w:t>
      </w:r>
      <w:r>
        <w:t xml:space="preserve">Eq. 10 crash weights: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lead delta-v [m/s]</w:t>
            </w:r>
          </w:p>
        </w:tc>
        <w:tc>
          <w:tcPr/>
          <w:p>
            <w:pPr>
              <w:pStyle w:val="Compact"/>
            </w:pPr>
            <w:r>
              <w:t xml:space="preserve">mean P_inj (MAIS2+)</w:t>
            </w:r>
          </w:p>
        </w:tc>
        <w:tc>
          <w:tcPr/>
          <w:p>
            <w:pPr>
              <w:pStyle w:val="Compact"/>
            </w:pPr>
            <w:r>
              <w:t xml:space="preserve">t_nr [s]</w:t>
            </w:r>
          </w:p>
        </w:tc>
        <w:tc>
          <w:tcPr/>
          <w:p>
            <w:pPr>
              <w:pStyle w:val="Compact"/>
            </w:pPr>
            <w:r>
              <w:t xml:space="preserve">follower a_min [m/s²]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QUADRIS reference (n = 5 000)</w:t>
            </w:r>
          </w:p>
        </w:tc>
        <w:tc>
          <w:tcPr/>
          <w:p>
            <w:pPr>
              <w:pStyle w:val="Compact"/>
            </w:pPr>
            <w:r>
              <w:t xml:space="preserve">1.77</w:t>
            </w:r>
          </w:p>
        </w:tc>
        <w:tc>
          <w:tcPr/>
          <w:p>
            <w:pPr>
              <w:pStyle w:val="Compact"/>
            </w:pPr>
            <w:r>
              <w:t xml:space="preserve">0.0062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−1.03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active inference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0.0036</w:t>
            </w:r>
          </w:p>
        </w:tc>
        <w:tc>
          <w:tcPr/>
          <w:p>
            <w:pPr>
              <w:pStyle w:val="Compact"/>
            </w:pPr>
            <w:r>
              <w:t xml:space="preserve">−0.10</w:t>
            </w:r>
          </w:p>
        </w:tc>
        <w:tc>
          <w:tcPr/>
          <w:p>
            <w:pPr>
              <w:pStyle w:val="Compact"/>
            </w:pPr>
            <w:r>
              <w:t xml:space="preserve">−3.46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CBM control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</w:tbl>
    <w:bookmarkEnd w:id="15"/>
    <w:bookmarkStart w:id="19" w:name="X348885e2cc4ea17392f6a304a1eb6dce682ea62"/>
    <w:p>
      <w:pPr>
        <w:pStyle w:val="Heading3"/>
      </w:pPr>
      <w:r>
        <w:t xml:space="preserve">4.2 Distributions</w:t>
      </w:r>
    </w:p>
    <w:p>
      <w:pPr>
        <w:pStyle w:val="FirstParagraph"/>
      </w:pPr>
      <w:r>
        <w:drawing>
          <wp:inline>
            <wp:extent cx="5334000" cy="1874108"/>
            <wp:effectExtent b="0" l="0" r="0" t="0"/>
            <wp:docPr descr="Weighted metric distributions: reference vs conditions B and C" title="" id="17" name="Picture"/>
            <a:graphic>
              <a:graphicData uri="http://schemas.openxmlformats.org/drawingml/2006/picture">
                <pic:pic>
                  <pic:nvPicPr>
                    <pic:cNvPr descr="causation_figures/fig_metri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three panels carry the substance: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Severity (lead delta-v, left).</w:t>
      </w:r>
      <w:r>
        <w:t xml:space="preserve"> </w:t>
      </w:r>
      <w:r>
        <w:t xml:space="preserve">Both response models over-produce mild crashes</w:t>
      </w:r>
      <w:r>
        <w:t xml:space="preserve"> </w:t>
      </w:r>
      <w:r>
        <w:t xml:space="preserve">(density 0.55–0.70 in the lowest bins against the reference's 0.24) and under-produce</w:t>
      </w:r>
      <w:r>
        <w:t xml:space="preserve"> </w:t>
      </w:r>
      <w:r>
        <w:t xml:space="preserve">the moderate 1–5 m/s range. The bin sweep generates many marginal crashes — a glance</w:t>
      </w:r>
      <w:r>
        <w:t xml:space="preserve"> </w:t>
      </w:r>
      <w:r>
        <w:t xml:space="preserve">just long enough, a deceleration just too weak — whose delta-v is small.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Urgency (t_nr, middle).</w:t>
      </w:r>
      <w:r>
        <w:t xml:space="preserve"> </w:t>
      </w:r>
      <w:r>
        <w:t xml:space="preserve">The distributions essentially coincide — the time of no</w:t>
      </w:r>
      <w:r>
        <w:t xml:space="preserve"> </w:t>
      </w:r>
      <w:r>
        <w:t xml:space="preserve">return is a property of the seeds more than of the follower, and both models inherit it</w:t>
      </w:r>
      <w:r>
        <w:t xml:space="preserve"> </w:t>
      </w:r>
      <w:r>
        <w:t xml:space="preserve">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Braking (follower minimum acceleration, right).</w:t>
      </w:r>
      <w:r>
        <w:t xml:space="preserve"> </w:t>
      </w:r>
      <w:r>
        <w:t xml:space="preserve">The structural mismatch. The</w:t>
      </w:r>
      <w:r>
        <w:t xml:space="preserve"> </w:t>
      </w:r>
      <w:r>
        <w:t xml:space="preserve">reference's crashing followers concentrate at</w:t>
      </w:r>
      <w:r>
        <w:t xml:space="preserve"> </w:t>
      </w:r>
      <w:r>
        <w:rPr>
          <w:b/>
          <w:bCs/>
        </w:rPr>
        <w:t xml:space="preserve">zero braking</w:t>
      </w:r>
      <w:r>
        <w:t xml:space="preserve"> </w:t>
      </w:r>
      <w:r>
        <w:t xml:space="preserve">(the [W25a] generator's</w:t>
      </w:r>
      <w:r>
        <w:t xml:space="preserve"> </w:t>
      </w:r>
      <w:r>
        <w:t xml:space="preserve">non-responding and abnormal-acceleration followers) with a smooth spread of moderate</w:t>
      </w:r>
      <w:r>
        <w:t xml:space="preserve"> </w:t>
      </w:r>
      <w:r>
        <w:t xml:space="preserve">braking; the generated crashes instead brake hard at the discrete cap values (the</w:t>
      </w:r>
      <w:r>
        <w:t xml:space="preserve"> </w:t>
      </w:r>
      <w:r>
        <w:t xml:space="preserve">spikes at the [B24] bin centers). In words:</w:t>
      </w:r>
      <w:r>
        <w:t xml:space="preserve"> </w:t>
      </w:r>
      <w:r>
        <w:rPr>
          <w:b/>
          <w:bCs/>
        </w:rPr>
        <w:t xml:space="preserve">QUADRIS crashes are mostly drivers who</w:t>
      </w:r>
      <w:r>
        <w:rPr>
          <w:b/>
          <w:bCs/>
        </w:rPr>
        <w:t xml:space="preserve"> </w:t>
      </w:r>
      <w:r>
        <w:rPr>
          <w:b/>
          <w:bCs/>
        </w:rPr>
        <w:t xml:space="preserve">barely braked; the CBM-style construction generates drivers who braked hard but too</w:t>
      </w:r>
      <w:r>
        <w:rPr>
          <w:b/>
          <w:bCs/>
        </w:rPr>
        <w:t xml:space="preserve"> </w:t>
      </w:r>
      <w:r>
        <w:rPr>
          <w:b/>
          <w:bCs/>
        </w:rPr>
        <w:t xml:space="preserve">late.</w:t>
      </w:r>
      <w:r>
        <w:t xml:space="preserve"> </w:t>
      </w:r>
      <w:r>
        <w:t xml:space="preserve">Both routes end in a crash; they are different kinds of crash.</w:t>
      </w:r>
    </w:p>
    <w:bookmarkEnd w:id="19"/>
    <w:bookmarkStart w:id="20" w:name="X4e6829fd4a76e90d1cfee256350f6f2a438da41"/>
    <w:p>
      <w:pPr>
        <w:pStyle w:val="Heading3"/>
      </w:pPr>
      <w:r>
        <w:t xml:space="preserve">4.3 Equivalence statistics</w:t>
      </w:r>
    </w:p>
    <w:p>
      <w:pPr>
        <w:pStyle w:val="FirstParagraph"/>
      </w:pPr>
      <w:r>
        <w:t xml:space="preserve">No condition is practically equivalent to the reference on any metric (ROPE 0.10 for θ,</w:t>
      </w:r>
      <w:r>
        <w:t xml:space="preserve"> </w:t>
      </w:r>
      <w:r>
        <w:t xml:space="preserve">0.05 for Θ; full tables in</w:t>
      </w:r>
      <w:r>
        <w:t xml:space="preserve"> </w:t>
      </w:r>
      <w:r>
        <w:rPr>
          <w:rStyle w:val="VerbatimChar"/>
        </w:rPr>
        <w:t xml:space="preserve">replication/causation/out/summary_real.md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summary_real_process.md</w:t>
      </w:r>
      <w:r>
        <w:t xml:space="preserve">). Headline θ with 95% bootstrap HDIs, Eq. 10 weights: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glance placement</w:t>
            </w:r>
          </w:p>
        </w:tc>
        <w:tc>
          <w:tcPr/>
          <w:p>
            <w:pPr>
              <w:pStyle w:val="Compact"/>
            </w:pPr>
            <w:r>
              <w:t xml:space="preserve">P_inj</w:t>
            </w:r>
          </w:p>
        </w:tc>
        <w:tc>
          <w:tcPr/>
          <w:p>
            <w:pPr>
              <w:pStyle w:val="Compact"/>
            </w:pPr>
            <w:r>
              <w:t xml:space="preserve">t_nr</w:t>
            </w:r>
          </w:p>
        </w:tc>
        <w:tc>
          <w:tcPr/>
          <w:p>
            <w:pPr>
              <w:pStyle w:val="Compact"/>
            </w:pPr>
            <w:r>
              <w:t xml:space="preserve">a_f,min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0.62 [0.47, 1.07]</w:t>
            </w:r>
          </w:p>
        </w:tc>
        <w:tc>
          <w:tcPr/>
          <w:p>
            <w:pPr>
              <w:pStyle w:val="Compact"/>
            </w:pPr>
            <w:r>
              <w:t xml:space="preserve">0.42 [0.26, 1.00]</w:t>
            </w:r>
          </w:p>
        </w:tc>
        <w:tc>
          <w:tcPr/>
          <w:p>
            <w:pPr>
              <w:pStyle w:val="Compact"/>
            </w:pPr>
            <w:r>
              <w:t xml:space="preserve">2.42 [1.85, 2.96]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anchored overshot</w:t>
            </w:r>
          </w:p>
        </w:tc>
        <w:tc>
          <w:tcPr/>
          <w:p>
            <w:pPr>
              <w:pStyle w:val="Compact"/>
            </w:pPr>
            <w:r>
              <w:t xml:space="preserve">1.44 [1.39, 1.58]</w:t>
            </w:r>
          </w:p>
        </w:tc>
        <w:tc>
          <w:tcPr/>
          <w:p>
            <w:pPr>
              <w:pStyle w:val="Compact"/>
            </w:pPr>
            <w:r>
              <w:t xml:space="preserve">0.66 [0.58, 0.75]</w:t>
            </w:r>
          </w:p>
        </w:tc>
        <w:tc>
          <w:tcPr/>
          <w:p>
            <w:pPr>
              <w:pStyle w:val="Compact"/>
            </w:pPr>
            <w:r>
              <w:t xml:space="preserve">1.00 [1.00, 1.04]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anchored overshot</w:t>
            </w:r>
          </w:p>
        </w:tc>
        <w:tc>
          <w:tcPr/>
          <w:p>
            <w:pPr>
              <w:pStyle w:val="Compact"/>
            </w:pPr>
            <w:r>
              <w:t xml:space="preserve">0.81 [0.74, 0.89]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 [0.26, 0.44]</w:t>
            </w:r>
          </w:p>
        </w:tc>
        <w:tc>
          <w:tcPr/>
          <w:p>
            <w:pPr>
              <w:pStyle w:val="Compact"/>
            </w:pPr>
            <w:r>
              <w:t xml:space="preserve">1.96 [1.90, 2.05]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renewal process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 [0.34, 0.50]</w:t>
            </w:r>
          </w:p>
        </w:tc>
        <w:tc>
          <w:tcPr/>
          <w:p>
            <w:pPr>
              <w:pStyle w:val="Compact"/>
            </w:pPr>
            <w:r>
              <w:t xml:space="preserve">0.37 [0.27, 0.52]</w:t>
            </w:r>
          </w:p>
        </w:tc>
        <w:tc>
          <w:tcPr/>
          <w:p>
            <w:pPr>
              <w:pStyle w:val="Compact"/>
            </w:pPr>
            <w:r>
              <w:t xml:space="preserve">2.03 [1.92, 2.15]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renewal process</w:t>
            </w:r>
          </w:p>
        </w:tc>
        <w:tc>
          <w:tcPr/>
          <w:p>
            <w:pPr>
              <w:pStyle w:val="Compact"/>
            </w:pPr>
            <w:r>
              <w:t xml:space="preserve">1.19 [1.10, 1.39]</w:t>
            </w:r>
          </w:p>
        </w:tc>
        <w:tc>
          <w:tcPr/>
          <w:p>
            <w:pPr>
              <w:pStyle w:val="Compact"/>
            </w:pPr>
            <w:r>
              <w:t xml:space="preserve">0.60 [0.52, 0.70]</w:t>
            </w:r>
          </w:p>
        </w:tc>
        <w:tc>
          <w:tcPr/>
          <w:p>
            <w:pPr>
              <w:pStyle w:val="Compact"/>
            </w:pPr>
            <w:r>
              <w:t xml:space="preserve">1.08 [1.00, 1.18]</w:t>
            </w:r>
          </w:p>
        </w:tc>
      </w:tr>
    </w:tbl>
    <w:p>
      <w:pPr>
        <w:pStyle w:val="BodyText"/>
      </w:pPr>
      <w:r>
        <w:t xml:space="preserve">How to read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t_nr comes closest to equivalence</w:t>
      </w:r>
      <w:r>
        <w:t xml:space="preserve"> </w:t>
      </w:r>
      <w:r>
        <w:t xml:space="preserve">(θ 0.26–0.75 against a ROPE of 0.10) for every</w:t>
      </w:r>
      <w:r>
        <w:t xml:space="preserve"> </w:t>
      </w:r>
      <w:r>
        <w:t xml:space="preserve">condition — consistent with panel 2: the seeds carry this metric.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best severity match is the CBM control with process glances</w:t>
      </w:r>
      <w:r>
        <w:t xml:space="preserve"> </w:t>
      </w:r>
      <w:r>
        <w:t xml:space="preserve">(P_inj θ = 0.40),</w:t>
      </w:r>
      <w:r>
        <w:t xml:space="preserve"> </w:t>
      </w:r>
      <w:r>
        <w:t xml:space="preserve">which is expected — it is the nearest relative of the generator — and useful: it</w:t>
      </w:r>
      <w:r>
        <w:t xml:space="preserve"> </w:t>
      </w:r>
      <w:r>
        <w:t xml:space="preserve">calibrates how much of the remaining distance is attributable to the framework</w:t>
      </w:r>
      <w:r>
        <w:t xml:space="preserve"> </w:t>
      </w:r>
      <w:r>
        <w:t xml:space="preserve">(seeds, weighting, digitized inputs) rather than to the response model. The active</w:t>
      </w:r>
      <w:r>
        <w:t xml:space="preserve"> </w:t>
      </w:r>
      <w:r>
        <w:t xml:space="preserve">inference conditions sit at θ 1.2–1.5, roughly three times the control's distance.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a_f,min fails structurally for every condition</w:t>
      </w:r>
      <w:r>
        <w:t xml:space="preserve"> </w:t>
      </w:r>
      <w:r>
        <w:t xml:space="preserve">(θ 1.0–2.4). This is the panel-3</w:t>
      </w:r>
      <w:r>
        <w:t xml:space="preserve"> </w:t>
      </w:r>
      <w:r>
        <w:t xml:space="preserve">mismatch, and no response-timing change can fix it: it comes from generating crashes</w:t>
      </w:r>
      <w:r>
        <w:t xml:space="preserve"> </w:t>
      </w:r>
      <w:r>
        <w:t xml:space="preserve">through the low-deceleration mechanism while the reference generates them mostly</w:t>
      </w:r>
      <w:r>
        <w:t xml:space="preserve"> </w:t>
      </w:r>
      <w:r>
        <w:t xml:space="preserve">through non-response. Under the exposure weighting (plan §6b) every θ roughly doubles,</w:t>
      </w:r>
      <w:r>
        <w:t xml:space="preserve"> </w:t>
      </w:r>
      <w:r>
        <w:t xml:space="preserve">as the crash-conditioned seed set is up-weighted toward its rarely-crashing members.</w:t>
      </w:r>
    </w:p>
    <w:p>
      <w:pPr>
        <w:pStyle w:val="FirstParagraph"/>
      </w:pPr>
      <w:r>
        <w:t xml:space="preserve">One methodological note carried over from the stand-in runs and confirmed here: the</w:t>
      </w:r>
      <w:r>
        <w:t xml:space="preserve"> </w:t>
      </w:r>
      <w:r>
        <w:t xml:space="preserve">choice of glance placement moves the equivalence result more than the choice of duration</w:t>
      </w:r>
      <w:r>
        <w:t xml:space="preserve"> </w:t>
      </w:r>
      <w:r>
        <w:t xml:space="preserve">distribution — crash-anchored placement inflates crash probability about four-fold for</w:t>
      </w:r>
      <w:r>
        <w:t xml:space="preserve"> </w:t>
      </w:r>
      <w:r>
        <w:t xml:space="preserve">the CBM without degrading θ, so the equivalence test alone would not catch that bias</w:t>
      </w:r>
      <w:r>
        <w:t xml:space="preserve"> </w:t>
      </w:r>
      <w:r>
        <w:t xml:space="preserve">(plan §11.3).</w:t>
      </w:r>
    </w:p>
    <w:bookmarkEnd w:id="20"/>
    <w:bookmarkEnd w:id="21"/>
    <w:bookmarkStart w:id="25" w:name="Xe4e64db47c1378059fe30fccfb20fabce509540"/>
    <w:p>
      <w:pPr>
        <w:pStyle w:val="Heading2"/>
      </w:pPr>
      <w:r>
        <w:t xml:space="preserve">5 Response timing: the two models differ exactly where it matters</w:t>
      </w:r>
    </w:p>
    <w:p>
      <w:pPr>
        <w:pStyle w:val="FirstParagraph"/>
      </w:pPr>
      <w:r>
        <w:drawing>
          <wp:inline>
            <wp:extent cx="4222781" cy="2389386"/>
            <wp:effectExtent b="0" l="0" r="0" t="0"/>
            <wp:docPr descr="Attentive brake onsets relative to the anchor" title="" id="23" name="Picture"/>
            <a:graphic>
              <a:graphicData uri="http://schemas.openxmlformats.org/drawingml/2006/picture">
                <pic:pic>
                  <pic:nvPicPr>
                    <pic:cNvPr descr="causation_figures/fig_timin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8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CBM's response rule is a fixed 0.5 s after the τ⁻¹ = 0.2 s⁻¹ anchor [B24, from</w:t>
      </w:r>
      <w:r>
        <w:t xml:space="preserve"> </w:t>
      </w:r>
      <w:r>
        <w:t xml:space="preserve">Markkula et al. 2016]. The active-inference accumulator, calibrated only on the authors'</w:t>
      </w:r>
      <w:r>
        <w:t xml:space="preserve"> </w:t>
      </w:r>
      <w:r>
        <w:t xml:space="preserve">own closed-loop trials and never on QUADRIS, produces onsets at a median 1.25 s after</w:t>
      </w:r>
      <w:r>
        <w:t xml:space="preserve"> </w:t>
      </w:r>
      <w:r>
        <w:t xml:space="preserve">that same anchor with a wide spread (IQR 0.55–1.90 s) — later and far more variable. The</w:t>
      </w:r>
      <w:r>
        <w:t xml:space="preserve"> </w:t>
      </w:r>
      <w:r>
        <w:t xml:space="preserve">distribution is stable across glance placements and across the stand-in versus real</w:t>
      </w:r>
      <w:r>
        <w:t xml:space="preserve"> </w:t>
      </w:r>
      <w:r>
        <w:t xml:space="preserve">distributions, because attentive timing does not involve the glance machinery at all.</w:t>
      </w:r>
      <w:r>
        <w:t xml:space="preserve"> </w:t>
      </w:r>
      <w:r>
        <w:t xml:space="preserve">Which rule is right for human drivers is an empirical question the two models now pose</w:t>
      </w:r>
      <w:r>
        <w:t xml:space="preserve"> </w:t>
      </w:r>
      <w:r>
        <w:t xml:space="preserve">crisply; the CBM's 0.5 s is itself empirically anchored, so the active-inference</w:t>
      </w:r>
      <w:r>
        <w:t xml:space="preserve"> </w:t>
      </w:r>
      <w:r>
        <w:t xml:space="preserve">surrogate's later median is a genuine, testable disagreement, not an error [Opinion].</w:t>
      </w:r>
    </w:p>
    <w:bookmarkEnd w:id="25"/>
    <w:bookmarkStart w:id="26" w:name="Xaa514859afddf12d4f4f0f080c313a63b1390dc"/>
    <w:p>
      <w:pPr>
        <w:pStyle w:val="Heading2"/>
      </w:pPr>
      <w:r>
        <w:t xml:space="preserve">6 The closed loop is not the CBM with extra steps: the glance-gate finding</w:t>
      </w:r>
    </w:p>
    <w:p>
      <w:pPr>
        <w:pStyle w:val="FirstParagraph"/>
      </w:pPr>
      <w:r>
        <w:t xml:space="preserve">The tier-2 adapter (plan §11.4) runs the authors' full closed-loop model on QUADRIS seeds</w:t>
      </w:r>
      <w:r>
        <w:t xml:space="preserve"> </w:t>
      </w:r>
      <w:r>
        <w:t xml:space="preserve">with the lead replaced by a replay of the seed's speed profile, and can force off-road</w:t>
      </w:r>
      <w:r>
        <w:t xml:space="preserve"> </w:t>
      </w:r>
      <w:r>
        <w:t xml:space="preserve">glances through the code's own observation gate (</w:t>
      </w:r>
      <w:r>
        <w:rPr>
          <w:rStyle w:val="VerbatimChar"/>
        </w:rPr>
        <w:t xml:space="preserve">I_factor</w:t>
      </w:r>
      <w:r>
        <w:t xml:space="preserve">, the mechanism of the</w:t>
      </w:r>
      <w:r>
        <w:t xml:space="preserve"> </w:t>
      </w:r>
      <w:r>
        <w:t xml:space="preserve">Engström et al. 2024 visual time-sharing model).</w:t>
      </w:r>
    </w:p>
    <w:p>
      <w:pPr>
        <w:pStyle w:val="BodyText"/>
      </w:pPr>
      <w:r>
        <w:rPr>
          <w:b/>
          <w:bCs/>
        </w:rPr>
        <w:t xml:space="preserve">Forcing a 1.0–3.0 s off-road glance during the conflict did not delay the response.</w:t>
      </w:r>
      <w:r>
        <w:t xml:space="preserve"> </w:t>
      </w:r>
      <w:r>
        <w:t xml:space="preserve">On the test seed the driver braked at 2.4–2.6 s — inside the glance — and it did so both</w:t>
      </w:r>
      <w:r>
        <w:t xml:space="preserve"> </w:t>
      </w:r>
      <w:r>
        <w:t xml:space="preserve">under the shipped observation-noise factor (3) and under an effectively total gate</w:t>
      </w:r>
      <w:r>
        <w:t xml:space="preserve"> </w:t>
      </w:r>
      <w:r>
        <w:t xml:space="preserve">(factor 1000). The reason is architectural: the lead's braking had been registered before</w:t>
      </w:r>
      <w:r>
        <w:t xml:space="preserve"> </w:t>
      </w:r>
      <w:r>
        <w:t xml:space="preserve">the glance began, and during the glance the belief cloud coasts forward on its own</w:t>
      </w:r>
      <w:r>
        <w:t xml:space="preserve"> </w:t>
      </w:r>
      <w:r>
        <w:t xml:space="preserve">norm-shaped prediction, so the evidence accumulator keeps filling from</w:t>
      </w:r>
      <w:r>
        <w:t xml:space="preserve"> </w:t>
      </w:r>
      <w:r>
        <w:rPr>
          <w:i/>
          <w:iCs/>
        </w:rPr>
        <w:t xml:space="preserve">remembered and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extrapolated</w:t>
      </w:r>
      <w:r>
        <w:t xml:space="preserve"> </w:t>
      </w:r>
      <w:r>
        <w:t xml:space="preserve">evidence. Looking away blocks new observations; it does not stop inference.</w:t>
      </w:r>
    </w:p>
    <w:p>
      <w:pPr>
        <w:pStyle w:val="BodyText"/>
      </w:pPr>
      <w:r>
        <w:t xml:space="preserve">The CBM assumes the opposite: no information accumulates while the eyes are away, and no</w:t>
      </w:r>
      <w:r>
        <w:t xml:space="preserve"> </w:t>
      </w:r>
      <w:r>
        <w:t xml:space="preserve">response can begin until 0.5 s after they return [B24]. The two architectures therefore</w:t>
      </w:r>
      <w:r>
        <w:t xml:space="preserve"> </w:t>
      </w:r>
      <w:r>
        <w:t xml:space="preserve">make</w:t>
      </w:r>
      <w:r>
        <w:t xml:space="preserve"> </w:t>
      </w:r>
      <w:r>
        <w:rPr>
          <w:b/>
          <w:bCs/>
        </w:rPr>
        <w:t xml:space="preserve">divergent, testable predictions</w:t>
      </w:r>
      <w:r>
        <w:t xml:space="preserve"> </w:t>
      </w:r>
      <w:r>
        <w:t xml:space="preserve">that depend on glance timing:</w:t>
      </w:r>
    </w:p>
    <w:p>
      <w:pPr>
        <w:pStyle w:val="Compact"/>
        <w:numPr>
          <w:ilvl w:val="0"/>
          <w:numId w:val="1006"/>
        </w:numPr>
      </w:pPr>
      <w:r>
        <w:t xml:space="preserve">glance covering the conflict onset → both models delay the response until (or beyond)</w:t>
      </w:r>
      <w:r>
        <w:t xml:space="preserve"> </w:t>
      </w:r>
      <w:r>
        <w:t xml:space="preserve">eyes-return; they roughly agree;</w:t>
      </w:r>
    </w:p>
    <w:p>
      <w:pPr>
        <w:pStyle w:val="Compact"/>
        <w:numPr>
          <w:ilvl w:val="0"/>
          <w:numId w:val="1006"/>
        </w:numPr>
      </w:pPr>
      <w:r>
        <w:t xml:space="preserve">glance beginning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onset has been registered → the CBM still waits for</w:t>
      </w:r>
      <w:r>
        <w:t xml:space="preserve"> </w:t>
      </w:r>
      <w:r>
        <w:t xml:space="preserve">eyes-return + 0.5 s, while the active-inference driver responds mid-glance on</w:t>
      </w:r>
      <w:r>
        <w:t xml:space="preserve"> </w:t>
      </w:r>
      <w:r>
        <w:t xml:space="preserve">extrapolated evidence.</w:t>
      </w:r>
    </w:p>
    <w:p>
      <w:pPr>
        <w:pStyle w:val="FirstParagraph"/>
      </w:pPr>
      <w:r>
        <w:t xml:space="preserve">Naturalistic glance-conditional response data could separate these — drivers who brake</w:t>
      </w:r>
      <w:r>
        <w:t xml:space="preserve"> </w:t>
      </w:r>
      <w:r>
        <w:t xml:space="preserve">while still looking away (or within less than 0.5 s of looking back) in late-glance</w:t>
      </w:r>
      <w:r>
        <w:t xml:space="preserve"> </w:t>
      </w:r>
      <w:r>
        <w:t xml:space="preserve">conflicts would favor the active-inference account. To our knowledge the existing</w:t>
      </w:r>
      <w:r>
        <w:t xml:space="preserve"> </w:t>
      </w:r>
      <w:r>
        <w:t xml:space="preserve">glance-response literature conditions on eyes-off at onset and does not isolate the</w:t>
      </w:r>
      <w:r>
        <w:t xml:space="preserve"> </w:t>
      </w:r>
      <w:r>
        <w:t xml:space="preserve">late-glance case [Opinion]. The tier-1 pipeline mirrors this distinction explicitly: its</w:t>
      </w:r>
      <w:r>
        <w:t xml:space="preserve"> </w:t>
      </w:r>
      <w:r>
        <w:t xml:space="preserve">evidence gate at weight 0 reproduces the CBM assumption, the Svärd et al. partial</w:t>
      </w:r>
      <w:r>
        <w:t xml:space="preserve"> </w:t>
      </w:r>
      <w:r>
        <w:t xml:space="preserve">looming weight is an intermediate, and the tier-2 precision gate is the full</w:t>
      </w:r>
      <w:r>
        <w:t xml:space="preserve"> </w:t>
      </w:r>
      <w:r>
        <w:t xml:space="preserve">active-inference behavior.</w:t>
      </w:r>
    </w:p>
    <w:p>
      <w:pPr>
        <w:pStyle w:val="BodyText"/>
      </w:pPr>
      <w:r>
        <w:t xml:space="preserve">An incidental observation from the same runs, on four repeats only: the hard gate</w:t>
      </w:r>
      <w:r>
        <w:t xml:space="preserve"> </w:t>
      </w:r>
      <w:r>
        <w:t xml:space="preserve">produced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crashes than the mild one (0/4 versus 2/4) — a warning against assuming</w:t>
      </w:r>
      <w:r>
        <w:t xml:space="preserve"> </w:t>
      </w:r>
      <w:r>
        <w:t xml:space="preserve">that gate strength maps monotonically onto risk, not a result.</w:t>
      </w:r>
    </w:p>
    <w:bookmarkEnd w:id="26"/>
    <w:bookmarkStart w:id="27" w:name="Xd91acdec7e33ceeecf3bf570da386b8f38747e5"/>
    <w:p>
      <w:pPr>
        <w:pStyle w:val="Heading2"/>
      </w:pPr>
      <w:r>
        <w:t xml:space="preserve">7 What we conclude so far</w:t>
      </w:r>
    </w:p>
    <w:p>
      <w:pPr>
        <w:pStyle w:val="Compact"/>
        <w:numPr>
          <w:ilvl w:val="0"/>
          <w:numId w:val="1007"/>
        </w:numPr>
      </w:pPr>
      <w:r>
        <w:t xml:space="preserve">The pipeline delivers what it was designed to deliver: switchable causation</w:t>
      </w:r>
      <w:r>
        <w:t xml:space="preserve"> </w:t>
      </w:r>
      <w:r>
        <w:t xml:space="preserve">components, two response processes behind one interface, per-seed crash</w:t>
      </w:r>
      <w:r>
        <w:t xml:space="preserve"> </w:t>
      </w:r>
      <w:r>
        <w:t xml:space="preserve">probabilities, and the full [W26] equivalence readout against the 5 000-scenario</w:t>
      </w:r>
      <w:r>
        <w:t xml:space="preserve"> </w:t>
      </w:r>
      <w:r>
        <w:t xml:space="preserve">reference — now with digitized real input distributions.</w:t>
      </w:r>
    </w:p>
    <w:p>
      <w:pPr>
        <w:pStyle w:val="Compact"/>
        <w:numPr>
          <w:ilvl w:val="0"/>
          <w:numId w:val="1007"/>
        </w:numPr>
      </w:pPr>
      <w:r>
        <w:t xml:space="preserve">Substantively, the active-inference response is slower and more variable than the</w:t>
      </w:r>
      <w:r>
        <w:t xml:space="preserve"> </w:t>
      </w:r>
      <w:r>
        <w:t xml:space="preserve">CBM's fixed rule, quadrupling the generated crash probability under identical</w:t>
      </w:r>
      <w:r>
        <w:t xml:space="preserve"> </w:t>
      </w:r>
      <w:r>
        <w:t xml:space="preserve">causation components; and the whole CBM-style construction — under either response</w:t>
      </w:r>
      <w:r>
        <w:t xml:space="preserve"> </w:t>
      </w:r>
      <w:r>
        <w:t xml:space="preserve">model — produces a crash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that differs in kind from QUADRIS's, whose</w:t>
      </w:r>
      <w:r>
        <w:t xml:space="preserve"> </w:t>
      </w:r>
      <w:r>
        <w:t xml:space="preserve">crashes come predominantly from non-braking followers rather than late-but-hard</w:t>
      </w:r>
      <w:r>
        <w:t xml:space="preserve"> </w:t>
      </w:r>
      <w:r>
        <w:t xml:space="preserve">brakers. Equivalence in the [W26] sense is not close for any condition; the</w:t>
      </w:r>
      <w:r>
        <w:t xml:space="preserve"> </w:t>
      </w:r>
      <w:r>
        <w:t xml:space="preserve">near-generator control (θ 0.40 at best) bounds how much of that distance the</w:t>
      </w:r>
      <w:r>
        <w:t xml:space="preserve"> </w:t>
      </w:r>
      <w:r>
        <w:t xml:space="preserve">framework itself accounts for.</w:t>
      </w:r>
    </w:p>
    <w:p>
      <w:pPr>
        <w:pStyle w:val="Compact"/>
        <w:numPr>
          <w:ilvl w:val="0"/>
          <w:numId w:val="1007"/>
        </w:numPr>
      </w:pPr>
      <w:r>
        <w:t xml:space="preserve">The architecturally interesting result is section 6: evidence gating versus</w:t>
      </w:r>
      <w:r>
        <w:t xml:space="preserve"> </w:t>
      </w:r>
      <w:r>
        <w:t xml:space="preserve">inference gating during off-road glances is a real, behaviorally testable difference</w:t>
      </w:r>
      <w:r>
        <w:t xml:space="preserve"> </w:t>
      </w:r>
      <w:r>
        <w:t xml:space="preserve">between the CBM and active inference, discovered by running both — it was not</w:t>
      </w:r>
      <w:r>
        <w:t xml:space="preserve"> </w:t>
      </w:r>
      <w:r>
        <w:t xml:space="preserve">visible in either paper alone.</w:t>
      </w:r>
    </w:p>
    <w:bookmarkEnd w:id="27"/>
    <w:bookmarkStart w:id="28" w:name="Xa393116d0ad1f1cde31979c8107a3df08636f21"/>
    <w:p>
      <w:pPr>
        <w:pStyle w:val="Heading2"/>
      </w:pPr>
      <w:r>
        <w:t xml:space="preserve">8 Limitations and next steps</w:t>
      </w:r>
    </w:p>
    <w:p>
      <w:pPr>
        <w:pStyle w:val="Compact"/>
        <w:numPr>
          <w:ilvl w:val="0"/>
          <w:numId w:val="1008"/>
        </w:numPr>
      </w:pPr>
      <w:r>
        <w:t xml:space="preserve">The glance and deceleration distributions are digitized from published figures; the</w:t>
      </w:r>
      <w:r>
        <w:t xml:space="preserve"> </w:t>
      </w:r>
      <w:r>
        <w:t xml:space="preserve">actual SHRP2 bins would remove the (small) digitization error and restore the</w:t>
      </w:r>
      <w:r>
        <w:t xml:space="preserve"> </w:t>
      </w:r>
      <w:r>
        <w:t xml:space="preserve">truncated glance tail. The deceleration distribution's provenance caveat from [B24]</w:t>
      </w:r>
      <w:r>
        <w:t xml:space="preserve"> </w:t>
      </w:r>
      <w:r>
        <w:t xml:space="preserve">stands: it comes from 45 low-severity SHRP2 crashes.</w:t>
      </w:r>
    </w:p>
    <w:p>
      <w:pPr>
        <w:pStyle w:val="Compact"/>
        <w:numPr>
          <w:ilvl w:val="0"/>
          <w:numId w:val="1008"/>
        </w:numPr>
      </w:pPr>
      <w:r>
        <w:t xml:space="preserve">The QUADRIS reference is itself model-generated; equivalence with it is equivalence</w:t>
      </w:r>
      <w:r>
        <w:t xml:space="preserve"> </w:t>
      </w:r>
      <w:r>
        <w:t xml:space="preserve">with that generator ([W25a]), and the exposure critique (plan §6b) is only mitigated,</w:t>
      </w:r>
      <w:r>
        <w:t xml:space="preserve"> </w:t>
      </w:r>
      <w:r>
        <w:t xml:space="preserve">not resolved, by the reweighting. The pre-filter scenario set remains the most</w:t>
      </w:r>
      <w:r>
        <w:t xml:space="preserve"> </w:t>
      </w:r>
      <w:r>
        <w:t xml:space="preserve">valuable single ask.</w:t>
      </w:r>
    </w:p>
    <w:p>
      <w:pPr>
        <w:pStyle w:val="Compact"/>
        <w:numPr>
          <w:ilvl w:val="0"/>
          <w:numId w:val="1008"/>
        </w:numPr>
      </w:pPr>
      <w:r>
        <w:t xml:space="preserve">Tier-1 timing is a surrogate; the tier-2 smoke test supports it within 0.1–0.9 s in</w:t>
      </w:r>
      <w:r>
        <w:t xml:space="preserve"> </w:t>
      </w:r>
      <w:r>
        <w:t xml:space="preserve">the calibrated speed range, but the 20-seed tier-2 comparison (plan step 7) has not</w:t>
      </w:r>
      <w:r>
        <w:t xml:space="preserve"> </w:t>
      </w:r>
      <w:r>
        <w:t xml:space="preserve">run yet, and the low-speed third of QUADRIS needs the desired-speed convention</w:t>
      </w:r>
      <w:r>
        <w:t xml:space="preserve"> </w:t>
      </w:r>
      <w:r>
        <w:t xml:space="preserve">decision before tier 2 covers it.</w:t>
      </w:r>
    </w:p>
    <w:p>
      <w:pPr>
        <w:pStyle w:val="Compact"/>
        <w:numPr>
          <w:ilvl w:val="0"/>
          <w:numId w:val="1008"/>
        </w:numPr>
      </w:pPr>
      <w:r>
        <w:t xml:space="preserve">n = 100 seeds; the tier-1 cost (~5 s per seed) permits the full 5 000 whenever the</w:t>
      </w:r>
      <w:r>
        <w:t xml:space="preserve"> </w:t>
      </w:r>
      <w:r>
        <w:t xml:space="preserve">tier-2 gate is passed.</w:t>
      </w:r>
    </w:p>
    <w:p>
      <w:pPr>
        <w:pStyle w:val="FirstParagraph"/>
      </w:pPr>
      <w:r>
        <w:t xml:space="preserve">Regeneration:</w:t>
      </w:r>
      <w:r>
        <w:t xml:space="preserve"> </w:t>
      </w:r>
      <w:r>
        <w:rPr>
          <w:rStyle w:val="VerbatimChar"/>
        </w:rPr>
        <w:t xml:space="preserve">replication/causation/run_quadris.py --n-seeds 100 --conditions A B C D --tag real --glance-csv replication/causation/data/b24_fig1_glances_shrp2.csv --decel-csv replication/causation/data/b24_fig3_decel.csv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replication/causation/make_results_figures.py --tag real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docs/build_pdf.py docs/crash_causation_results.md</w:t>
      </w:r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2026-08-24T15:41:29Z</dcterms:created>
  <dcterms:modified xsi:type="dcterms:W3CDTF">2026-08-24T15:41:29Z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