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3a62a5a69352328cecc0133256cf4d20212fba2"/>
    <w:p>
      <w:pPr>
        <w:pStyle w:val="Heading1"/>
      </w:pPr>
      <w:r>
        <w:t xml:space="preserve">Roadmap: deciding whether the field earns its keep</w:t>
      </w:r>
    </w:p>
    <w:p>
      <w:pPr>
        <w:pStyle w:val="FirstParagraph"/>
      </w:pPr>
      <w:r>
        <w:rPr>
          <w:i/>
          <w:iCs/>
        </w:rPr>
        <w:t xml:space="preserve">2026-08-27, evening. Jonas asked for a plan covering the two decidable claims in the</w:t>
      </w:r>
      <w:r>
        <w:rPr>
          <w:i/>
          <w:iCs/>
        </w:rPr>
        <w:t xml:space="preserve"> </w:t>
      </w:r>
      <w:r>
        <w:rPr>
          <w:i/>
          <w:iCs/>
        </w:rPr>
        <w:t xml:space="preserve">assessment (</w:t>
      </w:r>
      <w:r>
        <w:rPr>
          <w:i/>
          <w:iCs/>
        </w:rPr>
        <w:t xml:space="preserve">“the accumulator closes the within-scenario gap”</w:t>
      </w:r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w:r>
        <w:rPr>
          <w:i/>
          <w:iCs/>
        </w:rPr>
        <w:t xml:space="preserve">“the level transfers</w:t>
      </w:r>
      <w:r>
        <w:rPr>
          <w:i/>
          <w:iCs/>
        </w:rPr>
        <w:t xml:space="preserve"> </w:t>
      </w:r>
      <w:r>
        <w:rPr>
          <w:i/>
          <w:iCs/>
        </w:rPr>
        <w:t xml:space="preserve">across scenarios”</w:t>
      </w:r>
      <w:r>
        <w:rPr>
          <w:i/>
          <w:iCs/>
        </w:rPr>
        <w:t xml:space="preserve">) and, more broadly, for rolling out everything in the assessment’s</w:t>
      </w:r>
      <w:r>
        <w:rPr>
          <w:i/>
          <w:iCs/>
        </w:rPr>
        <w:t xml:space="preserve"> </w:t>
      </w:r>
      <w:r>
        <w:rPr>
          <w:i/>
          <w:iCs/>
        </w:rPr>
        <w:t xml:space="preserve">ADAS-trigger section. This document is that plan. It also records the answers Jonas gave</w:t>
      </w:r>
      <w:r>
        <w:rPr>
          <w:i/>
          <w:iCs/>
        </w:rPr>
        <w:t xml:space="preserve"> </w:t>
      </w:r>
      <w:r>
        <w:rPr>
          <w:i/>
          <w:iCs/>
        </w:rPr>
        <w:t xml:space="preserve">to the fitting plan’s four questions and what they change. Companion documents: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docs/czb_fitting_plan.md</w:t>
      </w:r>
      <w:r>
        <w:rPr>
          <w:i/>
          <w:iCs/>
        </w:rPr>
        <w:t xml:space="preserve"> </w:t>
      </w:r>
      <w:r>
        <w:rPr>
          <w:i/>
          <w:iCs/>
        </w:rPr>
        <w:t xml:space="preserve">(the model and estimation machinery),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docs/active_inference_for_czb_assessment.md</w:t>
      </w:r>
      <w:r>
        <w:rPr>
          <w:i/>
          <w:iCs/>
        </w:rPr>
        <w:t xml:space="preserve"> </w:t>
      </w:r>
      <w:r>
        <w:rPr>
          <w:i/>
          <w:iCs/>
        </w:rPr>
        <w:t xml:space="preserve">(the argument this plan tests).</w:t>
      </w:r>
    </w:p>
    <w:bookmarkStart w:id="9" w:name="X73aad9125bc06894f33b5a54ad8b09301665a6b"/>
    <w:p>
      <w:pPr>
        <w:pStyle w:val="Heading2"/>
      </w:pPr>
      <w:r>
        <w:t xml:space="preserve">0 What was already run tonight, because it was cheap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overfitting question is answered.</w:t>
      </w:r>
      <w:r>
        <w:t xml:space="preserve"> </w:t>
      </w:r>
      <w:r>
        <w:t xml:space="preserve">The within-scenario comparison is not an</w:t>
      </w:r>
      <w:r>
        <w:t xml:space="preserve"> </w:t>
      </w:r>
      <w:r>
        <w:t xml:space="preserve">in-sample artifact: under leave-one-criticality-out cross-validation (fit on two</w:t>
      </w:r>
      <w:r>
        <w:t xml:space="preserve"> </w:t>
      </w:r>
      <w:r>
        <w:t xml:space="preserve">criticality levels, predict the third) the field gives out-of-sample corr 0.864 /</w:t>
      </w:r>
      <w:r>
        <w:t xml:space="preserve"> </w:t>
      </w:r>
      <w:r>
        <w:t xml:space="preserve">RMSE 0.147 against the design regressions’ 0.934–0.949 / 0.097–0.108, and</w:t>
      </w:r>
      <w:r>
        <w:t xml:space="preserve"> </w:t>
      </w:r>
      <w:r>
        <w:t xml:space="preserve">leave-one-timepoint-out gives the same picture (field 0.870, regressions</w:t>
      </w:r>
      <w:r>
        <w:t xml:space="preserve"> </w:t>
      </w:r>
      <w:r>
        <w:t xml:space="preserve">0.933–0.948). The regressions genuinely generalize better</w:t>
      </w:r>
      <w:r>
        <w:t xml:space="preserve"> </w:t>
      </w:r>
      <w:r>
        <w:rPr>
          <w:i/>
          <w:iCs/>
        </w:rPr>
        <w:t xml:space="preserve">within this scenario</w:t>
      </w:r>
      <w:r>
        <w:t xml:space="preserve">,</w:t>
      </w:r>
      <w:r>
        <w:t xml:space="preserve"> </w:t>
      </w:r>
      <w:r>
        <w:t xml:space="preserve">including when extrapolating to an unseen criticality level. The field’s case</w:t>
      </w:r>
      <w:r>
        <w:t xml:space="preserve"> </w:t>
      </w:r>
      <w:r>
        <w:t xml:space="preserve">therefore rests, exactly as stated, on the accumulator, on portability, and on</w:t>
      </w:r>
      <w:r>
        <w:t xml:space="preserve"> </w:t>
      </w:r>
      <w:r>
        <w:t xml:space="preserve">state-based deployability — not on surface fit.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perceived-safety correlation exists and is strong</w:t>
      </w:r>
      <w:r>
        <w:t xml:space="preserve"> </w:t>
      </w:r>
      <w:r>
        <w:t xml:space="preserve">(Jonas’s request; figure</w:t>
      </w:r>
      <w:r>
        <w:t xml:space="preserve"> </w:t>
      </w:r>
      <w:r>
        <w:rPr>
          <w:rStyle w:val="VerbatimChar"/>
        </w:rPr>
        <w:t xml:space="preserve">figures/ps_vs_field.png</w:t>
      </w:r>
      <w:r>
        <w:t xml:space="preserve">, script</w:t>
      </w:r>
      <w:r>
        <w:t xml:space="preserve"> </w:t>
      </w:r>
      <w:r>
        <w:rPr>
          <w:rStyle w:val="VerbatimChar"/>
        </w:rPr>
        <w:t xml:space="preserve">replication/czb/ps_vs_field.py</w:t>
      </w:r>
      <w:r>
        <w:t xml:space="preserve">). The stored PS</w:t>
      </w:r>
      <w:r>
        <w:t xml:space="preserve"> </w:t>
      </w:r>
      <w:r>
        <w:t xml:space="preserve">scale is perceived</w:t>
      </w:r>
      <w:r>
        <w:t xml:space="preserve"> </w:t>
      </w:r>
      <w:r>
        <w:rPr>
          <w:i/>
          <w:iCs/>
        </w:rPr>
        <w:t xml:space="preserve">unsafety</w:t>
      </w:r>
      <w:r>
        <w:t xml:space="preserve"> </w:t>
      </w:r>
      <w:r>
        <w:t xml:space="preserve">(dictionary gotcha 1: higher = less safe). Against the</w:t>
      </w:r>
      <w:r>
        <w:t xml:space="preserve"> </w:t>
      </w:r>
      <w:r>
        <w:t xml:space="preserve">field: cell-level Spearman ρ = 0.93 (Pearson r = 0.84) over the 18 cells,</w:t>
      </w:r>
      <w:r>
        <w:t xml:space="preserve"> </w:t>
      </w:r>
      <w:r>
        <w:t xml:space="preserve">trial-level ρ = 0.58, and within-criticality trial-level ρ = 0.64 / 0.52 / 0.39</w:t>
      </w:r>
      <w:r>
        <w:t xml:space="preserve"> </w:t>
      </w:r>
      <w:r>
        <w:t xml:space="preserve">(TTC4/6/8). The ratings reproduce the same time-compression mismatch as the</w:t>
      </w:r>
      <w:r>
        <w:t xml:space="preserve"> </w:t>
      </w:r>
      <w:r>
        <w:t xml:space="preserve">intervention surface: ratings keep climbing through the window where the static</w:t>
      </w:r>
      <w:r>
        <w:t xml:space="preserve"> </w:t>
      </w:r>
      <w:r>
        <w:t xml:space="preserve">field flattens — a third independent appearance of the accumulator’s signature</w:t>
      </w:r>
      <w:r>
        <w:t xml:space="preserve"> </w:t>
      </w:r>
      <w:r>
        <w:t xml:space="preserve">(after P(intervene) and the ratings’ shape, the button densities will be the</w:t>
      </w:r>
      <w:r>
        <w:t xml:space="preserve"> </w:t>
      </w:r>
      <w:r>
        <w:t xml:space="preserve">fourth).</w:t>
      </w:r>
    </w:p>
    <w:bookmarkEnd w:id="9"/>
    <w:bookmarkStart w:id="10" w:name="Xc949127e62cf3dffe3ac29c281280c494f04d76"/>
    <w:p>
      <w:pPr>
        <w:pStyle w:val="Heading2"/>
      </w:pPr>
      <w:r>
        <w:t xml:space="preserve">0b Amendments from the same evening’s discussion</w:t>
      </w:r>
    </w:p>
    <w:p>
      <w:pPr>
        <w:pStyle w:val="FirstParagraph"/>
      </w:pPr>
      <w:r>
        <w:t xml:space="preserve">Jonas’s follow-up questions changed four things; recorded here so the stages below read</w:t>
      </w:r>
      <w:r>
        <w:t xml:space="preserve"> </w:t>
      </w:r>
      <w:r>
        <w:t xml:space="preserve">correctly.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named comparator is now his 2D state rule, not the design regression.</w:t>
      </w:r>
      <w:r>
        <w:t xml:space="preserve"> </w:t>
      </w:r>
      <w:r>
        <w:t xml:space="preserve">A</w:t>
      </w:r>
      <w:r>
        <w:t xml:space="preserve"> </w:t>
      </w:r>
      <w:r>
        <w:t xml:space="preserve">probit in 1/TTC and lateral offset — both observable state variables — reaches</w:t>
      </w:r>
      <w:r>
        <w:t xml:space="preserve"> </w:t>
      </w:r>
      <w:r>
        <w:t xml:space="preserve">held-out corr 0.921 on the cut-in surface (field 0.864; design regression 0.934,</w:t>
      </w:r>
      <w:r>
        <w:t xml:space="preserve"> </w:t>
      </w:r>
      <w:r>
        <w:t xml:space="preserve">demoted to an upper-bound reference since its covariates are experiment clocks, not</w:t>
      </w:r>
      <w:r>
        <w:t xml:space="preserve"> </w:t>
      </w:r>
      <w:r>
        <w:t xml:space="preserve">state). Two things should be said about the 2D rule: within this stimulus family the</w:t>
      </w:r>
      <w:r>
        <w:t xml:space="preserve"> </w:t>
      </w:r>
      <w:r>
        <w:t xml:space="preserve">lateral-offset trajectory is nearly identical across criticality levels, so it</w:t>
      </w:r>
      <w:r>
        <w:t xml:space="preserve"> </w:t>
      </w:r>
      <w:r>
        <w:t xml:space="preserve">spans almost the same space as the design regression; and its second observable is</w:t>
      </w:r>
      <w:r>
        <w:t xml:space="preserve"> </w:t>
      </w:r>
      <w:r>
        <w:t xml:space="preserve">scenario-specific (lane-crossing distance for cut-in, PET for LTAP, clearance for</w:t>
      </w:r>
      <w:r>
        <w:t xml:space="preserve"> </w:t>
      </w:r>
      <w:r>
        <w:t xml:space="preserve">overtakes), which is exactly the conventional per-scenario route whose cross-scenario</w:t>
      </w:r>
      <w:r>
        <w:t xml:space="preserve"> </w:t>
      </w:r>
      <w:r>
        <w:t xml:space="preserve">version is the elliptical formulation. The transfer test is therefore a three-way</w:t>
      </w:r>
      <w:r>
        <w:t xml:space="preserve"> </w:t>
      </w:r>
      <w:r>
        <w:t xml:space="preserve">comparison: one-scalar field, per-scenario 2D rules, elliptical joint.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comfort and dread levels are both fitted, not fixed at 4 and 8.</w:t>
      </w:r>
      <w:r>
        <w:t xml:space="preserve"> </w:t>
      </w:r>
      <w:r>
        <w:t xml:space="preserve">Jonas’s</w:t>
      </w:r>
      <w:r>
        <w:t xml:space="preserve"> </w:t>
      </w:r>
      <w:r>
        <w:t xml:space="preserve">correction on the DZB’s meaning is adopted: the dread boundary is the deceleration</w:t>
      </w:r>
      <w:r>
        <w:t xml:space="preserve"> </w:t>
      </w:r>
      <w:r>
        <w:t xml:space="preserve">drivers do not voluntarily push beyond, a behavioral limit rather than the physical</w:t>
      </w:r>
      <w:r>
        <w:t xml:space="preserve"> </w:t>
      </w:r>
      <w:r>
        <w:t xml:space="preserve">a_max — so 8 m/s² is an upper anchor, not the answer, and 4 may also be high for</w:t>
      </w:r>
      <w:r>
        <w:t xml:space="preserve"> </w:t>
      </w:r>
      <w:r>
        <w:t xml:space="preserve">comfort. The ordered model fits both levels as free parameters per the hierarchy;</w:t>
      </w:r>
      <w:r>
        <w:t xml:space="preserve"> </w:t>
      </w:r>
      <w:r>
        <w:t xml:space="preserve">the 4/8 pair survives only as the staging default for computing example fields.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secondary model fits the conventions.</w:t>
      </w:r>
      <w:r>
        <w:t xml:space="preserve"> </w:t>
      </w:r>
      <w:r>
        <w:t xml:space="preserve">a_OV,min and t_react (the driver’s</w:t>
      </w:r>
      <w:r>
        <w:t xml:space="preserve"> </w:t>
      </w:r>
      <w:r>
        <w:rPr>
          <w:i/>
          <w:iCs/>
        </w:rPr>
        <w:t xml:space="preserve">assumed</w:t>
      </w:r>
      <w:r>
        <w:t xml:space="preserve"> </w:t>
      </w:r>
      <w:r>
        <w:t xml:space="preserve">worst case and budget — distinct from motor latency) can in principle be</w:t>
      </w:r>
      <w:r>
        <w:t xml:space="preserve"> </w:t>
      </w:r>
      <w:r>
        <w:t xml:space="preserve">identified at population level, because they enter the boundary with different</w:t>
      </w:r>
      <w:r>
        <w:t xml:space="preserve"> </w:t>
      </w:r>
      <w:r>
        <w:t xml:space="preserve">kinematic signatures (t_react scales with v_ego, a_OV,min with the lead’s stopping</w:t>
      </w:r>
      <w:r>
        <w:t xml:space="preserve"> </w:t>
      </w:r>
      <w:r>
        <w:t xml:space="preserve">distance, a_allowed with v_react²) and the scenarios span 5.5–30.5 m/s. The primary</w:t>
      </w:r>
      <w:r>
        <w:t xml:space="preserve"> </w:t>
      </w:r>
      <w:r>
        <w:t xml:space="preserve">analysis keeps them fixed for falsifiability; the secondary lets the data place</w:t>
      </w:r>
      <w:r>
        <w:t xml:space="preserve"> </w:t>
      </w:r>
      <w:r>
        <w:t xml:space="preserve">them, and disagreement between the two is itself informative.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Epistemic value gets reconsidered on evidence, not dropped for convenience</w:t>
      </w:r>
      <w:r>
        <w:t xml:space="preserve"> </w:t>
      </w:r>
      <w:r>
        <w:t xml:space="preserve">(stage E below). The deposit contains the authors’ own α = 0 runs: rear-end 28</w:t>
      </w:r>
      <w:r>
        <w:t xml:space="preserve"> </w:t>
      </w:r>
      <w:r>
        <w:t xml:space="preserve">matched configurations, collision difference exactly 0.000; intersection 6 matched,</w:t>
      </w:r>
      <w:r>
        <w:t xml:space="preserve"> </w:t>
      </w:r>
      <w:r>
        <w:t xml:space="preserve">within 0.005;</w:t>
      </w:r>
      <w:r>
        <w:t xml:space="preserve"> </w:t>
      </w:r>
      <w:r>
        <w:rPr>
          <w:b/>
          <w:bCs/>
        </w:rPr>
        <w:t xml:space="preserve">oncoming 3 matched, collisions 5.7 points lower with the term on</w:t>
      </w:r>
      <w:r>
        <w:t xml:space="preserve">.</w:t>
      </w:r>
      <w:r>
        <w:t xml:space="preserve"> </w:t>
      </w:r>
      <w:r>
        <w:t xml:space="preserve">Inert in the longitudinal scenarios, possibly useful in the lateral one</w:t>
      </w:r>
      <w:r>
        <w:t xml:space="preserve"> </w:t>
      </w:r>
      <w:r>
        <w:t xml:space="preserve">(</w:t>
      </w:r>
      <w:r>
        <w:rPr>
          <w:rStyle w:val="VerbatimChar"/>
        </w:rPr>
        <w:t xml:space="preserve">replication/czb/epistemic_ablation_check.py</w:t>
      </w:r>
      <w:r>
        <w:t xml:space="preserve">).</w:t>
      </w:r>
    </w:p>
    <w:bookmarkEnd w:id="10"/>
    <w:bookmarkStart w:id="11" w:name="Xc83bcdd42b7d55db0691d28fced298c48785cf3"/>
    <w:p>
      <w:pPr>
        <w:pStyle w:val="Heading2"/>
      </w:pPr>
      <w:r>
        <w:t xml:space="preserve">1 Stage A — close the within-scenario question (1–2 sessions, all data in hand)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Synthetic-recovery harness</w:t>
      </w:r>
      <w:r>
        <w:t xml:space="preserve"> </w:t>
      </w:r>
      <w:r>
        <w:t xml:space="preserve">for the stage-1 hierarchical model (fitting plan</w:t>
      </w:r>
      <w:r>
        <w:t xml:space="preserve"> </w:t>
      </w:r>
      <w:r>
        <w:t xml:space="preserve">§3). Simulate from known parameters, refit, confirm recovery. Gate for everything</w:t>
      </w:r>
      <w:r>
        <w:t xml:space="preserve"> </w:t>
      </w:r>
      <w:r>
        <w:t xml:space="preserve">below.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Stage-1 hierarchical fit</w:t>
      </w:r>
      <w:r>
        <w:t xml:space="preserve"> </w:t>
      </w:r>
      <w:r>
        <w:t xml:space="preserve">on the Random cut-in surface: per-driver c_i, the</w:t>
      </w:r>
      <w:r>
        <w:t xml:space="preserve"> </w:t>
      </w:r>
      <w:r>
        <w:t xml:space="preserve">ordered braking-expectation thresholds, and</w:t>
      </w:r>
      <w:r>
        <w:t xml:space="preserve"> </w:t>
      </w:r>
      <w:r>
        <w:rPr>
          <w:b/>
          <w:bCs/>
        </w:rPr>
        <w:t xml:space="preserve">both bias variants</w:t>
      </w:r>
      <w:r>
        <w:t xml:space="preserve"> </w:t>
      </w:r>
      <w:r>
        <w:t xml:space="preserve">— group-level b</w:t>
      </w:r>
      <w:r>
        <w:t xml:space="preserve"> </w:t>
      </w:r>
      <w:r>
        <w:t xml:space="preserve">and hierarchical b_i with shrinkage — compared by held-out likelihood and by</w:t>
      </w:r>
      <w:r>
        <w:t xml:space="preserve"> </w:t>
      </w:r>
      <w:r>
        <w:t xml:space="preserve">posterior predictive on the C1 cells (the implications question; section 5.1</w:t>
      </w:r>
      <w:r>
        <w:t xml:space="preserve"> </w:t>
      </w:r>
      <w:r>
        <w:t xml:space="preserve">below).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accumulator layer</w:t>
      </w:r>
      <w:r>
        <w:t xml:space="preserve">, fitted on the same surface. Decision criterion, stated</w:t>
      </w:r>
      <w:r>
        <w:t xml:space="preserve"> </w:t>
      </w:r>
      <w:r>
        <w:t xml:space="preserve">in advance: the accumulator variant should recover most of the gap to the design</w:t>
      </w:r>
      <w:r>
        <w:t xml:space="preserve"> </w:t>
      </w:r>
      <w:r>
        <w:t xml:space="preserve">regressions’ cross-validated RMSE (~0.10) without any per-scenario parameter. If</w:t>
      </w:r>
      <w:r>
        <w:t xml:space="preserve"> </w:t>
      </w:r>
      <w:r>
        <w:t xml:space="preserve">it does not, that is recorded as evidence against the framework, per the</w:t>
      </w:r>
      <w:r>
        <w:t xml:space="preserve"> </w:t>
      </w:r>
      <w:r>
        <w:t xml:space="preserve">assessment.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Button-side validation</w:t>
      </w:r>
      <w:r>
        <w:t xml:space="preserve">: predict the press-time densities (2 396 trials) with</w:t>
      </w:r>
      <w:r>
        <w:t xml:space="preserve"> </w:t>
      </w:r>
      <w:r>
        <w:t xml:space="preserve">one paradigm shift δ, fitted both as a level shift and as a rate shift; the shape</w:t>
      </w:r>
      <w:r>
        <w:t xml:space="preserve"> </w:t>
      </w:r>
      <w:r>
        <w:t xml:space="preserve">decides. Motor latency fixed per section 5.3.</w:t>
      </w:r>
    </w:p>
    <w:bookmarkEnd w:id="11"/>
    <w:bookmarkStart w:id="12" w:name="Xb3d48e256e5b3b92dc22145d418a698426a8005"/>
    <w:p>
      <w:pPr>
        <w:pStyle w:val="Heading2"/>
      </w:pPr>
      <w:r>
        <w:t xml:space="preserve">2 Stage B — the transfer test on data we already hold (the gate)</w:t>
      </w:r>
    </w:p>
    <w:p>
      <w:pPr>
        <w:pStyle w:val="FirstParagraph"/>
      </w:pPr>
      <w:r>
        <w:t xml:space="preserve">The Random design contains, with the same 43 participants and PS ratings throughout:</w:t>
      </w:r>
      <w:r>
        <w:t xml:space="preserve"> </w:t>
      </w:r>
      <w:r>
        <w:t xml:space="preserve">cut-in (3 × C1–C6), LTAP (8 PET levels × 2 speeds), cyclist overtake (3 clearances ×</w:t>
      </w:r>
      <w:r>
        <w:t xml:space="preserve"> </w:t>
      </w:r>
      <w:r>
        <w:t xml:space="preserve">C1–C5), truck overtake (5 lateral offsets). This is exactly the transfer design, held</w:t>
      </w:r>
      <w:r>
        <w:t xml:space="preserve"> </w:t>
      </w:r>
      <w:r>
        <w:t xml:space="preserve">in-house. What blocks it is field construction, not data: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Cyclist overtake</w:t>
      </w:r>
      <w:r>
        <w:t xml:space="preserve"> </w:t>
      </w:r>
      <w:r>
        <w:t xml:space="preserve">(first, easiest): same-lane longitudinal geometry, roles fixed</w:t>
      </w:r>
      <w:r>
        <w:t xml:space="preserve"> </w:t>
      </w:r>
      <w:r>
        <w:t xml:space="preserve">by instructed vehicle rather than lateral span (the loader mis-assigns these —</w:t>
      </w:r>
      <w:r>
        <w:t xml:space="preserve"> </w:t>
      </w:r>
      <w:r>
        <w:t xml:space="preserve">review finding 1.5). The ego closes on a cyclist; the existing rear-end field</w:t>
      </w:r>
      <w:r>
        <w:t xml:space="preserve"> </w:t>
      </w:r>
      <w:r>
        <w:t xml:space="preserve">applies nearly unchanged.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Truck overtake / truck lateral</w:t>
      </w:r>
      <w:r>
        <w:t xml:space="preserve">: the ego passes a stationary or drifting truck</w:t>
      </w:r>
      <w:r>
        <w:t xml:space="preserve"> </w:t>
      </w:r>
      <w:r>
        <w:t xml:space="preserve">with lateral clearance as the criticality axis. Needs the lateral-clearance term</w:t>
      </w:r>
      <w:r>
        <w:t xml:space="preserve"> </w:t>
      </w:r>
      <w:r>
        <w:t xml:space="preserve">rather than the car-following counterfactual; the preference function’s lateral</w:t>
      </w:r>
      <w:r>
        <w:t xml:space="preserve"> </w:t>
      </w:r>
      <w:r>
        <w:t xml:space="preserve">machinery (p_lat, and P_lane run</w:t>
      </w:r>
      <w:r>
        <w:t xml:space="preserve"> </w:t>
      </w:r>
      <w:r>
        <w:t xml:space="preserve">“sideways”</w:t>
      </w:r>
      <w:r>
        <w:t xml:space="preserve">) covers it, but this is a construction</w:t>
      </w:r>
      <w:r>
        <w:t xml:space="preserve"> </w:t>
      </w:r>
      <w:r>
        <w:t xml:space="preserve">to argue, not assume.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LTAP</w:t>
      </w:r>
      <w:r>
        <w:t xml:space="preserve">: crossing geometry — the cut-in x/y conventions are meaningless; the</w:t>
      </w:r>
      <w:r>
        <w:t xml:space="preserve"> </w:t>
      </w:r>
      <w:r>
        <w:t xml:space="preserve">collision-relevant quantity is arrival-time separation at the conflict zone. This</w:t>
      </w:r>
      <w:r>
        <w:t xml:space="preserve"> </w:t>
      </w:r>
      <w:r>
        <w:t xml:space="preserve">is the intersection scenario’s world model; the construction should follow the</w:t>
      </w:r>
      <w:r>
        <w:t xml:space="preserve"> </w:t>
      </w:r>
      <w:r>
        <w:t xml:space="preserve">authors’ intersection scenario the way the cut-in followed rear-end.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test itself</w:t>
      </w:r>
      <w:r>
        <w:t xml:space="preserve">: fit c (and the accumulator) on cut-in only; predict the other</w:t>
      </w:r>
      <w:r>
        <w:t xml:space="preserve"> </w:t>
      </w:r>
      <w:r>
        <w:t xml:space="preserve">three response surfaces with everything frozen. Pre-registered readout: predictive</w:t>
      </w:r>
      <w:r>
        <w:t xml:space="preserve"> </w:t>
      </w:r>
      <w:r>
        <w:t xml:space="preserve">correlation per scenario against (a) chance, (b) a per-scenario refit ceiling, and</w:t>
      </w:r>
    </w:p>
    <w:p>
      <w:pPr>
        <w:pStyle w:val="Compact"/>
        <w:numPr>
          <w:ilvl w:val="0"/>
          <w:numId w:val="1000"/>
        </w:numPr>
      </w:pPr>
      <w:r>
        <w:t xml:space="preserve">(c) the elliptical fallback fitted on conventional indicators. Pre-registered</w:t>
      </w:r>
      <w:r>
        <w:t xml:space="preserve"> </w:t>
      </w:r>
      <w:r>
        <w:t xml:space="preserve">confound control: the per-scenario</w:t>
      </w:r>
      <w:r>
        <w:t xml:space="preserve"> </w:t>
      </w:r>
      <w:r>
        <w:rPr>
          <w:i/>
          <w:iCs/>
        </w:rPr>
        <w:t xml:space="preserve">instruction</w:t>
      </w:r>
      <w:r>
        <w:t xml:space="preserve"> </w:t>
      </w:r>
      <w:r>
        <w:t xml:space="preserve">differs (intervene / abort /</w:t>
      </w:r>
      <w:r>
        <w:t xml:space="preserve"> </w:t>
      </w:r>
      <w:r>
        <w:t xml:space="preserve">yield), so a uniform shift per scenario is permitted in a secondary analysis and</w:t>
      </w:r>
      <w:r>
        <w:t xml:space="preserve"> </w:t>
      </w:r>
      <w:r>
        <w:t xml:space="preserve">the primary analysis allows none — both reported.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cheap preliminary before any of that</w:t>
      </w:r>
      <w:r>
        <w:t xml:space="preserve">: the PS ratings exist for all four</w:t>
      </w:r>
      <w:r>
        <w:t xml:space="preserve"> </w:t>
      </w:r>
      <w:r>
        <w:t xml:space="preserve">scenarios. Once a scenario’s field exists, the cell-level rating-versus-field</w:t>
      </w:r>
      <w:r>
        <w:t xml:space="preserve"> </w:t>
      </w:r>
      <w:r>
        <w:t xml:space="preserve">correlation (as run tonight for cut-in) is a transfer check that needs no fitting</w:t>
      </w:r>
      <w:r>
        <w:t xml:space="preserve"> </w:t>
      </w:r>
      <w:r>
        <w:t xml:space="preserve">at all. I would run it per scenario as each field construction lands.</w:t>
      </w:r>
    </w:p>
    <w:p>
      <w:pPr>
        <w:pStyle w:val="FirstParagraph"/>
      </w:pPr>
      <w:r>
        <w:rPr>
          <w:b/>
          <w:bCs/>
        </w:rPr>
        <w:t xml:space="preserve">Test-track data (Jonas’s offer).</w:t>
      </w:r>
      <w:r>
        <w:t xml:space="preserve"> </w:t>
      </w:r>
      <w:r>
        <w:t xml:space="preserve">What would make external LTAP/OD data usable, in</w:t>
      </w:r>
      <w:r>
        <w:t xml:space="preserve"> </w:t>
      </w:r>
      <w:r>
        <w:t xml:space="preserve">order of importance — this matches</w:t>
      </w:r>
      <w:r>
        <w:t xml:space="preserve"> </w:t>
      </w:r>
      <w:r>
        <w:rPr>
          <w:rStyle w:val="VerbatimChar"/>
        </w:rPr>
        <w:t xml:space="preserve">docs/data_requirements.pdf</w:t>
      </w:r>
      <w:r>
        <w:t xml:space="preserve">, which was written for</w:t>
      </w:r>
      <w:r>
        <w:t xml:space="preserve"> </w:t>
      </w:r>
      <w:r>
        <w:t xml:space="preserve">exactly this handoff: (1) paired-vehicle kinematics at ≥ 10 Hz (positions and speeds of</w:t>
      </w:r>
      <w:r>
        <w:t xml:space="preserve"> </w:t>
      </w:r>
      <w:r>
        <w:t xml:space="preserve">both vehicles on a common clock and datum; headings if turning); (2) a response-onset</w:t>
      </w:r>
      <w:r>
        <w:t xml:space="preserve"> </w:t>
      </w:r>
      <w:r>
        <w:t xml:space="preserve">label per trial (brake onset, or release/steer onset, extracted however the study</w:t>
      </w:r>
      <w:r>
        <w:t xml:space="preserve"> </w:t>
      </w:r>
      <w:r>
        <w:t xml:space="preserve">defined it — the definition matters more than the choice); (3) a per-driver identifier</w:t>
      </w:r>
      <w:r>
        <w:t xml:space="preserve"> </w:t>
      </w:r>
      <w:r>
        <w:t xml:space="preserve">across trials, since the whole point is per-driver levels; (4) the staging protocol</w:t>
      </w:r>
      <w:r>
        <w:t xml:space="preserve"> </w:t>
      </w:r>
      <w:r>
        <w:t xml:space="preserve">(scripted speeds, PET/gap levels, instruction wording — the instruction confound</w:t>
      </w:r>
      <w:r>
        <w:t xml:space="preserve"> </w:t>
      </w:r>
      <w:r>
        <w:t xml:space="preserve">again); (5) vehicle dimensions. Nice to have: gaze or distraction state, and any</w:t>
      </w:r>
      <w:r>
        <w:t xml:space="preserve"> </w:t>
      </w:r>
      <w:r>
        <w:t xml:space="preserve">subjective ratings. With (1)–(3) the test-track data can serve as a</w:t>
      </w:r>
      <w:r>
        <w:t xml:space="preserve"> </w:t>
      </w:r>
      <w:r>
        <w:rPr>
          <w:i/>
          <w:iCs/>
        </w:rPr>
        <w:t xml:space="preserve">second population</w:t>
      </w:r>
      <w:r>
        <w:t xml:space="preserve"> </w:t>
      </w:r>
      <w:r>
        <w:t xml:space="preserve">for the percentile question, not merely a replication.</w:t>
      </w:r>
    </w:p>
    <w:bookmarkEnd w:id="12"/>
    <w:bookmarkStart w:id="13" w:name="X477082055cacf83cf7bc361b0fb0dc5913f680c"/>
    <w:p>
      <w:pPr>
        <w:pStyle w:val="Heading2"/>
      </w:pPr>
      <w:r>
        <w:t xml:space="preserve">3 Stage C — the percentile sensitivity analysis (cheap; run right after stage 1)</w:t>
      </w:r>
    </w:p>
    <w:p>
      <w:pPr>
        <w:pStyle w:val="FirstParagraph"/>
      </w:pPr>
      <w:r>
        <w:t xml:space="preserve">From the fitted population distribution of c: compute the implied trigger onset time</w:t>
      </w:r>
      <w:r>
        <w:t xml:space="preserve"> </w:t>
      </w:r>
      <w:r>
        <w:t xml:space="preserve">per stimulus for percentiles 50–95 in steps of 5, and report d(onset)/d(percentile) in</w:t>
      </w:r>
      <w:r>
        <w:t xml:space="preserve"> </w:t>
      </w:r>
      <w:r>
        <w:t xml:space="preserve">seconds alongside the estimation uncertainty of the percentile itself. Decision this</w:t>
      </w:r>
      <w:r>
        <w:t xml:space="preserve"> </w:t>
      </w:r>
      <w:r>
        <w:t xml:space="preserve">informs, stated in advance: if the trigger moves more per 5 percentile points than per</w:t>
      </w:r>
      <w:r>
        <w:t xml:space="preserve"> </w:t>
      </w:r>
      <w:r>
        <w:t xml:space="preserve">sampling-uncertainty band, the bottleneck is the percentile</w:t>
      </w:r>
      <w:r>
        <w:t xml:space="preserve"> </w:t>
      </w:r>
      <w:r>
        <w:rPr>
          <w:i/>
          <w:iCs/>
        </w:rPr>
        <w:t xml:space="preserve">choice</w:t>
      </w:r>
      <w:r>
        <w:t xml:space="preserve"> </w:t>
      </w:r>
      <w:r>
        <w:t xml:space="preserve">(a policy</w:t>
      </w:r>
      <w:r>
        <w:t xml:space="preserve"> </w:t>
      </w:r>
      <w:r>
        <w:t xml:space="preserve">question), not the estimator, and further estimator refinement is deprioritized. The</w:t>
      </w:r>
      <w:r>
        <w:t xml:space="preserve"> </w:t>
      </w:r>
      <w:r>
        <w:t xml:space="preserve">same sweep run on the comfort-versus-dread axis (a_allowed from 3 to 8 m/s²) quantifies</w:t>
      </w:r>
      <w:r>
        <w:t xml:space="preserve"> </w:t>
      </w:r>
      <w:r>
        <w:t xml:space="preserve">which of the two choices dominates.</w:t>
      </w:r>
    </w:p>
    <w:bookmarkEnd w:id="13"/>
    <w:bookmarkStart w:id="14" w:name="X1ebb3ac79325e5350ef4799a441e2dc71354def"/>
    <w:p>
      <w:pPr>
        <w:pStyle w:val="Heading2"/>
      </w:pPr>
      <w:r>
        <w:t xml:space="preserve">4 Stage D — the comfort-versus-safety audit (the causation synergy)</w:t>
      </w:r>
    </w:p>
    <w:p>
      <w:pPr>
        <w:pStyle w:val="FirstParagraph"/>
      </w:pPr>
      <w:r>
        <w:t xml:space="preserve">For a small grid of candidate triggers (percentile × a_allowed), replay the QUADRIS</w:t>
      </w:r>
      <w:r>
        <w:t xml:space="preserve"> </w:t>
      </w:r>
      <w:r>
        <w:t xml:space="preserve">ensemble with an intervention fired at the trigger’s level crossing and score</w:t>
      </w:r>
      <w:r>
        <w:t xml:space="preserve"> </w:t>
      </w:r>
      <w:r>
        <w:t xml:space="preserve">counterfactual outcomes with the existing causation machinery (crash probability,</w:t>
      </w:r>
      <w:r>
        <w:t xml:space="preserve"> </w:t>
      </w:r>
      <w:r>
        <w:t xml:space="preserve">injury-weighted severity, and — for the nuisance side — trigger rate in the</w:t>
      </w:r>
      <w:r>
        <w:t xml:space="preserve"> </w:t>
      </w:r>
      <w:r>
        <w:t xml:space="preserve">non-crashing seed majority). Output: a two-axis map (safety benefit versus nuisance</w:t>
      </w:r>
      <w:r>
        <w:t xml:space="preserve"> </w:t>
      </w:r>
      <w:r>
        <w:t xml:space="preserve">frequency) with the CZB percentiles marked on it. This is the concrete version of</w:t>
      </w:r>
      <w:r>
        <w:t xml:space="preserve"> </w:t>
      </w:r>
      <w:r>
        <w:t xml:space="preserve">“trigger set by comfort, audited by crash outcome”</w:t>
      </w:r>
      <w:r>
        <w:t xml:space="preserve">, and it directly tests the QUADRARUM</w:t>
      </w:r>
      <w:r>
        <w:t xml:space="preserve"> </w:t>
      </w:r>
      <w:r>
        <w:t xml:space="preserve">document’s ~0.1 s observation on our own ensemble. Effort: moderate — the runner,</w:t>
      </w:r>
      <w:r>
        <w:t xml:space="preserve"> </w:t>
      </w:r>
      <w:r>
        <w:t xml:space="preserve">weights and metrics all exist; the new piece is the intervention injection.</w:t>
      </w:r>
    </w:p>
    <w:bookmarkEnd w:id="14"/>
    <w:bookmarkStart w:id="15" w:name="Xe8f7452a018e3593198053fb4e77abd137e868e"/>
    <w:p>
      <w:pPr>
        <w:pStyle w:val="Heading2"/>
      </w:pPr>
      <w:r>
        <w:t xml:space="preserve">4b Stage E — planning and epistemic value, reconsidered on evidence</w:t>
      </w:r>
    </w:p>
    <w:p>
      <w:pPr>
        <w:pStyle w:val="FirstParagraph"/>
      </w:pPr>
      <w:r>
        <w:t xml:space="preserve">The field method’s omission of expected-free-energy planning is not purely</w:t>
      </w:r>
      <w:r>
        <w:t xml:space="preserve"> </w:t>
      </w:r>
      <w:r>
        <w:t xml:space="preserve">convenience, and the distinction matters. What the field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include is the</w:t>
      </w:r>
      <w:r>
        <w:t xml:space="preserve"> </w:t>
      </w:r>
      <w:r>
        <w:t xml:space="preserve">predictive rollout of the</w:t>
      </w:r>
      <w:r>
        <w:t xml:space="preserve"> </w:t>
      </w:r>
      <w:r>
        <w:rPr>
          <w:b/>
          <w:bCs/>
        </w:rPr>
        <w:t xml:space="preserve">other</w:t>
      </w:r>
      <w:r>
        <w:t xml:space="preserve"> </w:t>
      </w:r>
      <w:r>
        <w:t xml:space="preserve">vehicle — the lane-entry weight is exactly the</w:t>
      </w:r>
      <w:r>
        <w:t xml:space="preserve"> </w:t>
      </w:r>
      <w:r>
        <w:t xml:space="preserve">closed-form expectation of the conflict geometry under the target’s continued motion.</w:t>
      </w:r>
      <w:r>
        <w:t xml:space="preserve"> </w:t>
      </w:r>
      <w:r>
        <w:t xml:space="preserve">What it omits is rollout of the</w:t>
      </w:r>
      <w:r>
        <w:t xml:space="preserve"> </w:t>
      </w:r>
      <w:r>
        <w:rPr>
          <w:b/>
          <w:bCs/>
        </w:rPr>
        <w:t xml:space="preserve">ego’s own policies</w:t>
      </w:r>
      <w:r>
        <w:t xml:space="preserve">. For the study-1 stimuli that</w:t>
      </w:r>
      <w:r>
        <w:t xml:space="preserve"> </w:t>
      </w:r>
      <w:r>
        <w:t xml:space="preserve">omission is arguably correct rather than approximate: the instruction asks when doing</w:t>
      </w:r>
      <w:r>
        <w:t xml:space="preserve"> </w:t>
      </w:r>
      <w:r>
        <w:t xml:space="preserve">nothing stops being acceptable, which is the pointwise deficit of the no-action</w:t>
      </w:r>
      <w:r>
        <w:t xml:space="preserve"> </w:t>
      </w:r>
      <w:r>
        <w:t xml:space="preserve">trajectory — the thing we compute. Where policy rollout plausibly matters is where</w:t>
      </w:r>
      <w:r>
        <w:t xml:space="preserve"> </w:t>
      </w:r>
      <w:r>
        <w:t xml:space="preserve">scenarios differ in escape affordances, which is precisely the transfer set (LTAP:</w:t>
      </w:r>
      <w:r>
        <w:t xml:space="preserve"> </w:t>
      </w:r>
      <w:r>
        <w:t xml:space="preserve">yield or proceed; overtake: abort or continue). Three bounded experiments, each with a</w:t>
      </w:r>
      <w:r>
        <w:t xml:space="preserve"> </w:t>
      </w:r>
      <w:r>
        <w:t xml:space="preserve">decision rule: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E.1 — closed-form versus sampled expectation</w:t>
      </w:r>
      <w:r>
        <w:t xml:space="preserve"> </w:t>
      </w:r>
      <w:r>
        <w:t xml:space="preserve">(small): Monte Carlo the released</w:t>
      </w:r>
      <w:r>
        <w:t xml:space="preserve"> </w:t>
      </w:r>
      <w:r>
        <w:t xml:space="preserve">binary gates under the model’s own steering noise along the cut-in clips and</w:t>
      </w:r>
      <w:r>
        <w:t xml:space="preserve"> </w:t>
      </w:r>
      <w:r>
        <w:t xml:space="preserve">compare with P_lane. If the closed form tracks the sampled expectation within the</w:t>
      </w:r>
      <w:r>
        <w:t xml:space="preserve"> </w:t>
      </w:r>
      <w:r>
        <w:t xml:space="preserve">data’s resolution, the</w:t>
      </w:r>
      <w:r>
        <w:t xml:space="preserve"> </w:t>
      </w:r>
      <w:r>
        <w:t xml:space="preserve">“field = rollout in closed form”</w:t>
      </w:r>
      <w:r>
        <w:t xml:space="preserve"> </w:t>
      </w:r>
      <w:r>
        <w:t xml:space="preserve">reading is validated</w:t>
      </w:r>
      <w:r>
        <w:t xml:space="preserve"> </w:t>
      </w:r>
      <w:r>
        <w:t xml:space="preserve">quantitatively rather than argued.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E.2 — an uncertainty term where the data can see it</w:t>
      </w:r>
      <w:r>
        <w:t xml:space="preserve"> </w:t>
      </w:r>
      <w:r>
        <w:t xml:space="preserve">(moderate): the truck and</w:t>
      </w:r>
      <w:r>
        <w:t xml:space="preserve"> </w:t>
      </w:r>
      <w:r>
        <w:t xml:space="preserve">car cut-ins are matched on TTC levels but differ hugely in occlusion and apparent</w:t>
      </w:r>
      <w:r>
        <w:t xml:space="preserve"> </w:t>
      </w:r>
      <w:r>
        <w:t xml:space="preserve">size. If truck responses at matched kinematics are systematically earlier than any</w:t>
      </w:r>
      <w:r>
        <w:t xml:space="preserve"> </w:t>
      </w:r>
      <w:r>
        <w:t xml:space="preserve">kinematic covariate explains, an epistemic/precision term earns a place in the</w:t>
      </w:r>
      <w:r>
        <w:t xml:space="preserve"> </w:t>
      </w:r>
      <w:r>
        <w:t xml:space="preserve">field; the Button truck trials are the test bed. This is also the unexercised gaze</w:t>
      </w:r>
      <w:r>
        <w:t xml:space="preserve"> </w:t>
      </w:r>
      <w:r>
        <w:t xml:space="preserve">half’s natural entry point.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E.3 — a policy-set field for the transfer scenarios</w:t>
      </w:r>
      <w:r>
        <w:t xml:space="preserve"> </w:t>
      </w:r>
      <w:r>
        <w:t xml:space="preserve">(moderate): for fixed</w:t>
      </w:r>
      <w:r>
        <w:t xml:space="preserve"> </w:t>
      </w:r>
      <w:r>
        <w:t xml:space="preserve">clips, EFE over a small discrete policy set (a few braking levels; the instructed</w:t>
      </w:r>
      <w:r>
        <w:t xml:space="preserve"> </w:t>
      </w:r>
      <w:r>
        <w:t xml:space="preserve">alternatives) is closed-form kinematics, not CEM — cheap. Comfort becomes</w:t>
      </w:r>
      <w:r>
        <w:t xml:space="preserve"> </w:t>
      </w:r>
      <w:r>
        <w:t xml:space="preserve">“the</w:t>
      </w:r>
      <w:r>
        <w:t xml:space="preserve"> </w:t>
      </w:r>
      <w:r>
        <w:t xml:space="preserve">best available policy is still acceptable”</w:t>
      </w:r>
      <w:r>
        <w:t xml:space="preserve">. Decision rule: if the per-scenario</w:t>
      </w:r>
      <w:r>
        <w:t xml:space="preserve"> </w:t>
      </w:r>
      <w:r>
        <w:t xml:space="preserve">instruction shifts (stage B.4’s secondary analysis) shrink materially when the</w:t>
      </w:r>
      <w:r>
        <w:t xml:space="preserve"> </w:t>
      </w:r>
      <w:r>
        <w:t xml:space="preserve">policy set replaces the free shift, planning has earned its way back in; if not,</w:t>
      </w:r>
      <w:r>
        <w:t xml:space="preserve"> </w:t>
      </w:r>
      <w:r>
        <w:t xml:space="preserve">the pointwise field stands.</w:t>
      </w:r>
    </w:p>
    <w:p>
      <w:pPr>
        <w:pStyle w:val="FirstParagraph"/>
      </w:pPr>
      <w:r>
        <w:t xml:space="preserve">The ablation result in section 0b sits behind all three: epistemic value is inert in</w:t>
      </w:r>
      <w:r>
        <w:t xml:space="preserve"> </w:t>
      </w:r>
      <w:r>
        <w:t xml:space="preserve">the authors’ longitudinal runs, hints at usefulness in the lateral one, and our α = 0</w:t>
      </w:r>
      <w:r>
        <w:t xml:space="preserve"> </w:t>
      </w:r>
      <w:r>
        <w:t xml:space="preserve">matches an ablation they ran themselves — so nothing above contradicts the validated</w:t>
      </w:r>
      <w:r>
        <w:t xml:space="preserve"> </w:t>
      </w:r>
      <w:r>
        <w:t xml:space="preserve">base; it extends it where the evidence points.</w:t>
      </w:r>
    </w:p>
    <w:bookmarkEnd w:id="15"/>
    <w:bookmarkStart w:id="16" w:name="c-what-the-nds-access-is-for"/>
    <w:p>
      <w:pPr>
        <w:pStyle w:val="Heading2"/>
      </w:pPr>
      <w:r>
        <w:t xml:space="preserve">4c What the NDS access is for</w:t>
      </w:r>
    </w:p>
    <w:p>
      <w:pPr>
        <w:pStyle w:val="FirstParagraph"/>
      </w:pPr>
      <w:r>
        <w:t xml:space="preserve">Four distinct uses, in the order I would take them: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Estimating the paradigm offset δ empirically.</w:t>
      </w:r>
      <w:r>
        <w:t xml:space="preserve"> </w:t>
      </w:r>
      <w:r>
        <w:t xml:space="preserve">Fit c on naturalistic brake</w:t>
      </w:r>
      <w:r>
        <w:t xml:space="preserve"> </w:t>
      </w:r>
      <w:r>
        <w:t xml:space="preserve">onsets in lead-vehicle and cut-in events (the calibration machinery exists and</w:t>
      </w:r>
      <w:r>
        <w:t xml:space="preserve"> </w:t>
      </w:r>
      <w:r>
        <w:t xml:space="preserve">needs only kinematics —</w:t>
      </w:r>
      <w:r>
        <w:t xml:space="preserve"> </w:t>
      </w:r>
      <w:r>
        <w:rPr>
          <w:rStyle w:val="VerbatimChar"/>
        </w:rPr>
        <w:t xml:space="preserve">comfortzone.calibrate</w:t>
      </w:r>
      <w:r>
        <w:t xml:space="preserve">), and compare with the study-1</w:t>
      </w:r>
      <w:r>
        <w:t xml:space="preserve"> </w:t>
      </w:r>
      <w:r>
        <w:t xml:space="preserve">estimates. The difference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paradigm-plus-context offset, measured rather</w:t>
      </w:r>
      <w:r>
        <w:t xml:space="preserve"> </w:t>
      </w:r>
      <w:r>
        <w:t xml:space="preserve">than assumed — the single biggest upgrade available for the absolute-trigger</w:t>
      </w:r>
      <w:r>
        <w:t xml:space="preserve"> </w:t>
      </w:r>
      <w:r>
        <w:t xml:space="preserve">question.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Exposure denominators for stage D.</w:t>
      </w:r>
      <w:r>
        <w:t xml:space="preserve"> </w:t>
      </w:r>
      <w:r>
        <w:t xml:space="preserve">How often routine driving crosses a</w:t>
      </w:r>
      <w:r>
        <w:t xml:space="preserve"> </w:t>
      </w:r>
      <w:r>
        <w:t xml:space="preserve">candidate trigger level determines the nuisance rate — the deposit ensembles</w:t>
      </w:r>
      <w:r>
        <w:t xml:space="preserve"> </w:t>
      </w:r>
      <w:r>
        <w:t xml:space="preserve">cannot provide this; NDS is the only source that can.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percentile consistency check.</w:t>
      </w:r>
      <w:r>
        <w:t xml:space="preserve"> </w:t>
      </w:r>
      <w:r>
        <w:t xml:space="preserve">The distribution of self-selected margins in</w:t>
      </w:r>
      <w:r>
        <w:t xml:space="preserve"> </w:t>
      </w:r>
      <w:r>
        <w:t xml:space="preserve">routine driving (steady-state THW at speed, accepted lateral clearances) against</w:t>
      </w:r>
      <w:r>
        <w:t xml:space="preserve"> </w:t>
      </w:r>
      <w:r>
        <w:t xml:space="preserve">the fitted comfort-level distribution: drivers should mostly live inside their own</w:t>
      </w:r>
      <w:r>
        <w:t xml:space="preserve"> </w:t>
      </w:r>
      <w:r>
        <w:t xml:space="preserve">comfort zones, and the fraction who do not is a direct calibration check.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Transfer events in the wild</w:t>
      </w:r>
      <w:r>
        <w:t xml:space="preserve"> </w:t>
      </w:r>
      <w:r>
        <w:t xml:space="preserve">— naturally occurring cut-ins and LTAP conflicts</w:t>
      </w:r>
      <w:r>
        <w:t xml:space="preserve"> </w:t>
      </w:r>
      <w:r>
        <w:t xml:space="preserve">as a held-out scenario set with no instruction at all.</w:t>
      </w:r>
    </w:p>
    <w:bookmarkEnd w:id="16"/>
    <w:bookmarkStart w:id="17" w:name="X3a8a7ada4560a171f4efe3b1e372824b2763121"/>
    <w:p>
      <w:pPr>
        <w:pStyle w:val="Heading2"/>
      </w:pPr>
      <w:r>
        <w:t xml:space="preserve">5 The four questions: answers received 2026-08-27, and what follows</w:t>
      </w:r>
    </w:p>
    <w:p>
      <w:pPr>
        <w:pStyle w:val="FirstParagraph"/>
      </w:pPr>
      <w:r>
        <w:rPr>
          <w:b/>
          <w:bCs/>
        </w:rPr>
        <w:t xml:space="preserve">5.1 Bias: test both, and why I leaned toward shrinkage.</w:t>
      </w:r>
      <w:r>
        <w:t xml:space="preserve"> </w:t>
      </w:r>
      <w:r>
        <w:t xml:space="preserve">Agreed — both variants run</w:t>
      </w:r>
      <w:r>
        <w:t xml:space="preserve"> </w:t>
      </w:r>
      <w:r>
        <w:t xml:space="preserve">in stage A.2 and the data decides. The reasoning behind my lean, as requested. A</w:t>
      </w:r>
      <w:r>
        <w:t xml:space="preserve"> </w:t>
      </w:r>
      <w:r>
        <w:t xml:space="preserve">group-level bias asserts every participant shares one false-alarm propensity; a</w:t>
      </w:r>
      <w:r>
        <w:t xml:space="preserve"> </w:t>
      </w:r>
      <w:r>
        <w:t xml:space="preserve">per-driver unshrunk bias estimates each from ~12 pre-onset trials, where a driver with</w:t>
      </w:r>
      <w:r>
        <w:t xml:space="preserve"> </w:t>
      </w:r>
      <w:r>
        <w:t xml:space="preserve">1 press in 12 gets b = 0.083 largely made of noise. Hierarchical shrinkage is the</w:t>
      </w:r>
      <w:r>
        <w:t xml:space="preserve"> </w:t>
      </w:r>
      <w:r>
        <w:t xml:space="preserve">middle position: each driver’s estimate is pulled toward the group mean in proportion</w:t>
      </w:r>
      <w:r>
        <w:t xml:space="preserve"> </w:t>
      </w:r>
      <w:r>
        <w:t xml:space="preserve">to how little data supports it, so with thin data it</w:t>
      </w:r>
      <w:r>
        <w:t xml:space="preserve"> </w:t>
      </w:r>
      <w:r>
        <w:rPr>
          <w:i/>
          <w:iCs/>
        </w:rPr>
        <w:t xml:space="preserve">behaves</w:t>
      </w:r>
      <w:r>
        <w:t xml:space="preserve"> </w:t>
      </w:r>
      <w:r>
        <w:t xml:space="preserve">like the group model</w:t>
      </w:r>
      <w:r>
        <w:t xml:space="preserve"> </w:t>
      </w:r>
      <w:r>
        <w:t xml:space="preserve">except for genuinely extreme drivers. The reason I think the driver dimension is worth</w:t>
      </w:r>
      <w:r>
        <w:t xml:space="preserve"> </w:t>
      </w:r>
      <w:r>
        <w:t xml:space="preserve">keeping at all is a specific leakage risk: response bias and boundary level are</w:t>
      </w:r>
      <w:r>
        <w:t xml:space="preserve"> </w:t>
      </w:r>
      <w:r>
        <w:t xml:space="preserve">plausibly correlated across people (a trigger-happy participant both false-alarms at C1</w:t>
      </w:r>
      <w:r>
        <w:t xml:space="preserve"> </w:t>
      </w:r>
      <w:r>
        <w:t xml:space="preserve">and crosses early at C5). Under a group-level bias, that person’s excess C1 responses</w:t>
      </w:r>
      <w:r>
        <w:t xml:space="preserve"> </w:t>
      </w:r>
      <w:r>
        <w:t xml:space="preserve">have nowhere to go except</w:t>
      </w:r>
      <w:r>
        <w:t xml:space="preserve"> </w:t>
      </w:r>
      <w:r>
        <w:rPr>
          <w:i/>
          <w:iCs/>
        </w:rPr>
        <w:t xml:space="preserve">into their fitted c_i</w:t>
      </w:r>
      <w:r>
        <w:t xml:space="preserve">, biasing it low — and since the</w:t>
      </w:r>
      <w:r>
        <w:t xml:space="preserve"> </w:t>
      </w:r>
      <w:r>
        <w:t xml:space="preserve">deliverable is a population</w:t>
      </w:r>
      <w:r>
        <w:t xml:space="preserve"> </w:t>
      </w:r>
      <w:r>
        <w:rPr>
          <w:i/>
          <w:iCs/>
        </w:rPr>
        <w:t xml:space="preserve">percentile</w:t>
      </w:r>
      <w:r>
        <w:t xml:space="preserve">, distortion concentrated in the tail people is</w:t>
      </w:r>
      <w:r>
        <w:t xml:space="preserve"> </w:t>
      </w:r>
      <w:r>
        <w:t xml:space="preserve">exactly the distortion that matters. The empirical implications to check when both are</w:t>
      </w:r>
      <w:r>
        <w:t xml:space="preserve"> </w:t>
      </w:r>
      <w:r>
        <w:t xml:space="preserve">run: the group model should show systematic C1 misfit for the extreme participants,</w:t>
      </w:r>
      <w:r>
        <w:t xml:space="preserve"> </w:t>
      </w:r>
      <w:r>
        <w:t xml:space="preserve">and, if the leakage is real, a wider fitted σ_c than the shrinkage model. If neither</w:t>
      </w:r>
      <w:r>
        <w:t xml:space="preserve"> </w:t>
      </w:r>
      <w:r>
        <w:t xml:space="preserve">appears, group-level wins on parsimony and we say so.</w:t>
      </w:r>
    </w:p>
    <w:p>
      <w:pPr>
        <w:pStyle w:val="BodyText"/>
      </w:pPr>
      <w:r>
        <w:rPr>
          <w:b/>
          <w:bCs/>
        </w:rPr>
        <w:t xml:space="preserve">5.2 The braking-expectation question.</w:t>
      </w:r>
      <w:r>
        <w:t xml:space="preserve"> </w:t>
      </w:r>
      <w:r>
        <w:t xml:space="preserve">Per Jonas: treat</w:t>
      </w:r>
      <w:r>
        <w:t xml:space="preserve"> </w:t>
      </w:r>
      <w:r>
        <w:rPr>
          <w:rStyle w:val="VerbatimChar"/>
        </w:rPr>
        <w:t xml:space="preserve">CZB_2</w:t>
      </w:r>
      <w:r>
        <w:t xml:space="preserve"> </w:t>
      </w:r>
      <w:r>
        <w:t xml:space="preserve">as the human</w:t>
      </w:r>
      <w:r>
        <w:t xml:space="preserve"> </w:t>
      </w:r>
      <w:r>
        <w:t xml:space="preserve">decision (own braking) for now; a new dataset framed that way is coming and will</w:t>
      </w:r>
      <w:r>
        <w:t xml:space="preserve"> </w:t>
      </w:r>
      <w:r>
        <w:t xml:space="preserve">supersede this reading. Consequence for stage A: the ordered model still fits two</w:t>
      </w:r>
      <w:r>
        <w:t xml:space="preserve"> </w:t>
      </w:r>
      <w:r>
        <w:t xml:space="preserve">nested levels; only the</w:t>
      </w:r>
      <w:r>
        <w:t xml:space="preserve"> </w:t>
      </w:r>
      <w:r>
        <w:rPr>
          <w:i/>
          <w:iCs/>
        </w:rPr>
        <w:t xml:space="preserve">interpretation</w:t>
      </w:r>
      <w:r>
        <w:t xml:space="preserve"> </w:t>
      </w:r>
      <w:r>
        <w:t xml:space="preserve">of the upper level (dread as</w:t>
      </w:r>
      <w:r>
        <w:t xml:space="preserve"> </w:t>
      </w:r>
      <w:r>
        <w:t xml:space="preserve">“situation</w:t>
      </w:r>
      <w:r>
        <w:t xml:space="preserve"> </w:t>
      </w:r>
      <w:r>
        <w:t xml:space="preserve">demands hard braking”</w:t>
      </w:r>
      <w:r>
        <w:t xml:space="preserve">) is held provisionally rather than asserted, and the write-up</w:t>
      </w:r>
      <w:r>
        <w:t xml:space="preserve"> </w:t>
      </w:r>
      <w:r>
        <w:t xml:space="preserve">should flag it until the new data lands.</w:t>
      </w:r>
    </w:p>
    <w:p>
      <w:pPr>
        <w:pStyle w:val="BodyText"/>
      </w:pPr>
      <w:r>
        <w:rPr>
          <w:b/>
          <w:bCs/>
        </w:rPr>
        <w:t xml:space="preserve">5.3 Motor latency: fixed at 0.25 s, with the rationale.</w:t>
      </w:r>
      <w:r>
        <w:t xml:space="preserve"> </w:t>
      </w:r>
      <w:r>
        <w:t xml:space="preserve">The accumulator models the</w:t>
      </w:r>
      <w:r>
        <w:t xml:space="preserve"> </w:t>
      </w:r>
      <w:r>
        <w:t xml:space="preserve">decision, so λ should cover only post-decision motor execution of a prepared keypress.</w:t>
      </w:r>
      <w:r>
        <w:t xml:space="preserve"> </w:t>
      </w:r>
      <w:r>
        <w:t xml:space="preserve">The chronometric literature conventionally decomposes simple reaction time (~250 ms</w:t>
      </w:r>
      <w:r>
        <w:t xml:space="preserve"> </w:t>
      </w:r>
      <w:r>
        <w:t xml:space="preserve">total for visual stimuli) into premotor and motor components, with the motor</w:t>
      </w:r>
      <w:r>
        <w:t xml:space="preserve"> </w:t>
      </w:r>
      <w:r>
        <w:t xml:space="preserve">(execution) component around 70–100 ms and the remainder perceptual-decisional; since</w:t>
      </w:r>
      <w:r>
        <w:t xml:space="preserve"> </w:t>
      </w:r>
      <w:r>
        <w:t xml:space="preserve">our accumulator absorbs the decisional part but not stimulus-to-cortex transduction,</w:t>
      </w:r>
      <w:r>
        <w:t xml:space="preserve"> </w:t>
      </w:r>
      <w:r>
        <w:t xml:space="preserve">a value between the pure motor component and full simple RT is defensible. I propose</w:t>
      </w:r>
      <w:r>
        <w:t xml:space="preserve"> </w:t>
      </w:r>
      <w:r>
        <w:rPr>
          <w:b/>
          <w:bCs/>
        </w:rPr>
        <w:t xml:space="preserve">λ = 0.25 s, with a sensitivity re-fit at 0.15 and 0.35 s</w:t>
      </w:r>
      <w:r>
        <w:t xml:space="preserve"> </w:t>
      </w:r>
      <w:r>
        <w:t xml:space="preserve">reported alongside — the</w:t>
      </w:r>
      <w:r>
        <w:t xml:space="preserve"> </w:t>
      </w:r>
      <w:r>
        <w:t xml:space="preserve">sensitivity bracket matters more than the point choice, because λ trades one-for-one</w:t>
      </w:r>
      <w:r>
        <w:t xml:space="preserve"> </w:t>
      </w:r>
      <w:r>
        <w:t xml:space="preserve">with the population mean of c and not at all with its spread.</w:t>
      </w:r>
      <w:r>
        <w:t xml:space="preserve"> </w:t>
      </w:r>
      <w:r>
        <w:rPr>
          <w:i/>
          <w:iCs/>
        </w:rPr>
        <w:t xml:space="preserve">(Reference status, per</w:t>
      </w:r>
      <w:r>
        <w:rPr>
          <w:i/>
          <w:iCs/>
        </w:rPr>
        <w:t xml:space="preserve"> </w:t>
      </w:r>
      <w:r>
        <w:rPr>
          <w:i/>
          <w:iCs/>
        </w:rPr>
        <w:t xml:space="preserve">house rules: the 70–100 ms motor-component and ~250 ms simple-RT figures are</w:t>
      </w:r>
      <w:r>
        <w:rPr>
          <w:i/>
          <w:iCs/>
        </w:rPr>
        <w:t xml:space="preserve"> </w:t>
      </w:r>
      <w:r>
        <w:rPr>
          <w:i/>
          <w:iCs/>
        </w:rPr>
        <w:t xml:space="preserve">textbook-level values I have not verified against a source from this machine; they</w:t>
      </w:r>
      <w:r>
        <w:rPr>
          <w:i/>
          <w:iCs/>
        </w:rPr>
        <w:t xml:space="preserve"> </w:t>
      </w:r>
      <w:r>
        <w:rPr>
          <w:i/>
          <w:iCs/>
        </w:rPr>
        <w:t xml:space="preserve">should be cited properly — Luce’s response-time monograph is the standard citation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before any manuscript uses them.)</w:t>
      </w:r>
    </w:p>
    <w:p>
      <w:pPr>
        <w:pStyle w:val="BodyText"/>
      </w:pPr>
      <w:r>
        <w:rPr>
          <w:b/>
          <w:bCs/>
        </w:rPr>
        <w:t xml:space="preserve">5.4 Sequence design: excluded, no simulation.</w:t>
      </w:r>
      <w:r>
        <w:t xml:space="preserve"> </w:t>
      </w:r>
      <w:r>
        <w:t xml:space="preserve">Per Jonas, leaning against; the new</w:t>
      </w:r>
      <w:r>
        <w:t xml:space="preserve"> </w:t>
      </w:r>
      <w:r>
        <w:t xml:space="preserve">data makes it moot. Decision 8 stands unchanged.</w:t>
      </w:r>
    </w:p>
    <w:bookmarkEnd w:id="17"/>
    <w:bookmarkStart w:id="18" w:name="order-of-execution-and-gates"/>
    <w:p>
      <w:pPr>
        <w:pStyle w:val="Heading2"/>
      </w:pPr>
      <w:r>
        <w:t xml:space="preserve">6 Order of execution and gates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decides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A.1 recovery harness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  <w:tc>
          <w:tcPr/>
          <w:p>
            <w:pPr>
              <w:pStyle w:val="Compact"/>
            </w:pPr>
            <w:r>
              <w:t xml:space="preserve">that the estimator 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A.2 hierarchical fit, both bias variants</w:t>
            </w:r>
          </w:p>
        </w:tc>
        <w:tc>
          <w:tcPr/>
          <w:p>
            <w:pPr>
              <w:pStyle w:val="Compact"/>
            </w:pPr>
            <w:r>
              <w:t xml:space="preserve">A.1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  <w:tc>
          <w:tcPr/>
          <w:p>
            <w:pPr>
              <w:pStyle w:val="Compact"/>
            </w:pPr>
            <w:r>
              <w:t xml:space="preserve">bias model; population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A.3 accumulator</w:t>
            </w:r>
          </w:p>
        </w:tc>
        <w:tc>
          <w:tcPr/>
          <w:p>
            <w:pPr>
              <w:pStyle w:val="Compact"/>
            </w:pPr>
            <w:r>
              <w:t xml:space="preserve">A.2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claim (a): the time gradient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A.4 button validation</w:t>
            </w:r>
          </w:p>
        </w:tc>
        <w:tc>
          <w:tcPr/>
          <w:p>
            <w:pPr>
              <w:pStyle w:val="Compact"/>
            </w:pPr>
            <w:r>
              <w:t xml:space="preserve">A.3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  <w:tc>
          <w:tcPr/>
          <w:p>
            <w:pPr>
              <w:pStyle w:val="Compact"/>
            </w:pPr>
            <w:r>
              <w:t xml:space="preserve">paradigm shift; level vs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percentile sensitivity</w:t>
            </w:r>
          </w:p>
        </w:tc>
        <w:tc>
          <w:tcPr/>
          <w:p>
            <w:pPr>
              <w:pStyle w:val="Compact"/>
            </w:pPr>
            <w:r>
              <w:t xml:space="preserve">A.2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  <w:tc>
          <w:tcPr/>
          <w:p>
            <w:pPr>
              <w:pStyle w:val="Compact"/>
            </w:pPr>
            <w:r>
              <w:t xml:space="preserve">where the real bottleneck 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B.1 cyclist field + PS check</w:t>
            </w:r>
          </w:p>
        </w:tc>
        <w:tc>
          <w:tcPr/>
          <w:p>
            <w:pPr>
              <w:pStyle w:val="Compact"/>
            </w:pPr>
            <w:r>
              <w:t xml:space="preserve">— (parallel)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  <w:tc>
          <w:tcPr/>
          <w:p>
            <w:pPr>
              <w:pStyle w:val="Compact"/>
            </w:pPr>
            <w:r>
              <w:t xml:space="preserve">first transfer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B.2–B.3 truck + LTAP fields</w:t>
            </w:r>
          </w:p>
        </w:tc>
        <w:tc>
          <w:tcPr/>
          <w:p>
            <w:pPr>
              <w:pStyle w:val="Compact"/>
            </w:pPr>
            <w:r>
              <w:t xml:space="preserve">— (parallel)</w:t>
            </w:r>
          </w:p>
        </w:tc>
        <w:tc>
          <w:tcPr/>
          <w:p>
            <w:pPr>
              <w:pStyle w:val="Compact"/>
            </w:pPr>
            <w:r>
              <w:t xml:space="preserve">moderate each</w:t>
            </w:r>
          </w:p>
        </w:tc>
        <w:tc>
          <w:tcPr/>
          <w:p>
            <w:pPr>
              <w:pStyle w:val="Compact"/>
            </w:pPr>
            <w:r>
              <w:t xml:space="preserve">transfer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B.4 the transfer test</w:t>
            </w:r>
          </w:p>
        </w:tc>
        <w:tc>
          <w:tcPr/>
          <w:p>
            <w:pPr>
              <w:pStyle w:val="Compact"/>
            </w:pPr>
            <w:r>
              <w:t xml:space="preserve">A.3 + B.1–B.3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claim (b): the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safety audit</w:t>
            </w:r>
          </w:p>
        </w:tc>
        <w:tc>
          <w:tcPr/>
          <w:p>
            <w:pPr>
              <w:pStyle w:val="Compact"/>
            </w:pPr>
            <w:r>
              <w:t xml:space="preserve">A.2, C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comfort-vs-safety divergence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test-track ingestion</w:t>
            </w:r>
          </w:p>
        </w:tc>
        <w:tc>
          <w:tcPr/>
          <w:p>
            <w:pPr>
              <w:pStyle w:val="Compact"/>
            </w:pPr>
            <w:r>
              <w:t xml:space="preserve">Jonas’s data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second population</w:t>
            </w:r>
          </w:p>
        </w:tc>
      </w:tr>
    </w:tbl>
    <w:p>
      <w:pPr>
        <w:pStyle w:val="BodyText"/>
      </w:pPr>
      <w:r>
        <w:t xml:space="preserve">My reading of the critical path: A.1 → A.2 → A.3 is the spine; B field constructions</w:t>
      </w:r>
      <w:r>
        <w:t xml:space="preserve"> </w:t>
      </w:r>
      <w:r>
        <w:t xml:space="preserve">can proceed in parallel sessions; nothing above needs data we do not hold except the</w:t>
      </w:r>
      <w:r>
        <w:t xml:space="preserve"> </w:t>
      </w:r>
      <w:r>
        <w:t xml:space="preserve">last row.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2026-08-27T07:51:50Z</dcterms:created>
  <dcterms:modified xsi:type="dcterms:W3CDTF">2026-08-27T07:51:50Z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