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0c60649bbad77bc2cf89756300a6f1ed98d3eeb"/>
    <w:p>
      <w:pPr>
        <w:pStyle w:val="Heading1"/>
      </w:pPr>
      <w:r>
        <w:t xml:space="preserve">Work orders: executing the CZB roadmap with a smaller model</w:t>
      </w:r>
    </w:p>
    <w:p>
      <w:pPr>
        <w:pStyle w:val="FirstParagraph"/>
      </w:pPr>
      <w:r>
        <w:rPr>
          <w:i/>
          <w:iCs/>
        </w:rPr>
        <w:t xml:space="preserve">2026-08-27. Jonas asked whether the roadmap’s execution can move to a less expensive</w:t>
      </w:r>
      <w:r>
        <w:rPr>
          <w:i/>
          <w:iCs/>
        </w:rPr>
        <w:t xml:space="preserve"> </w:t>
      </w:r>
      <w:r>
        <w:rPr>
          <w:i/>
          <w:iCs/>
        </w:rPr>
        <w:t xml:space="preserve">model, and what would facilitate that. This document is the facilitation: task cards</w:t>
      </w:r>
      <w:r>
        <w:rPr>
          <w:i/>
          <w:iCs/>
        </w:rPr>
        <w:t xml:space="preserve"> </w:t>
      </w:r>
      <w:r>
        <w:rPr>
          <w:i/>
          <w:iCs/>
        </w:rPr>
        <w:t xml:space="preserve">precise enough that a capable but cheaper session can execute them without design</w:t>
      </w:r>
      <w:r>
        <w:rPr>
          <w:i/>
          <w:iCs/>
        </w:rPr>
        <w:t xml:space="preserve"> </w:t>
      </w:r>
      <w:r>
        <w:rPr>
          <w:i/>
          <w:iCs/>
        </w:rPr>
        <w:t xml:space="preserve">judgment, with acceptance criteria that make success checkable and stop conditions</w:t>
      </w:r>
      <w:r>
        <w:rPr>
          <w:i/>
          <w:iCs/>
        </w:rPr>
        <w:t xml:space="preserve"> </w:t>
      </w:r>
      <w:r>
        <w:rPr>
          <w:i/>
          <w:iCs/>
        </w:rPr>
        <w:t xml:space="preserve">that route genuine judgment calls back to Jonas or a stronger review session. The</w:t>
      </w:r>
      <w:r>
        <w:rPr>
          <w:i/>
          <w:iCs/>
        </w:rPr>
        <w:t xml:space="preserve"> </w:t>
      </w:r>
      <w:r>
        <w:rPr>
          <w:i/>
          <w:iCs/>
        </w:rPr>
        <w:t xml:space="preserve">recommendation on when to use which model is in section 1; the cards follow.</w:t>
      </w:r>
    </w:p>
    <w:bookmarkStart w:id="9" w:name="recommendation-on-the-model-split"/>
    <w:p>
      <w:pPr>
        <w:pStyle w:val="Heading2"/>
      </w:pPr>
      <w:r>
        <w:t xml:space="preserve">1 Recommendation on the model split</w:t>
      </w:r>
    </w:p>
    <w:p>
      <w:pPr>
        <w:pStyle w:val="FirstParagraph"/>
      </w:pPr>
      <w:r>
        <w:t xml:space="preserve">My honest view: most of the remaining work is well-specified implementation against</w:t>
      </w:r>
      <w:r>
        <w:t xml:space="preserve"> </w:t>
      </w:r>
      <w:r>
        <w:t xml:space="preserve">existing patterns, and a cheaper model executes that reliably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specification</w:t>
      </w:r>
      <w:r>
        <w:t xml:space="preserve"> </w:t>
      </w:r>
      <w:r>
        <w:t xml:space="preserve">carries the judgment. The split I would use: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Cheaper model, per these cards</w:t>
      </w:r>
      <w:r>
        <w:t xml:space="preserve">: A.1, A.2, A.4, B.1–B.3 constructions, C, E.1,</w:t>
      </w:r>
      <w:r>
        <w:t xml:space="preserve"> </w:t>
      </w:r>
      <w:r>
        <w:t xml:space="preserve">document rebuilds, and all reruns.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Stronger model (or Jonas)</w:t>
      </w:r>
      <w:r>
        <w:t xml:space="preserve">: interpreting A.2’s bias-model comparison, A.3’s</w:t>
      </w:r>
      <w:r>
        <w:t xml:space="preserve"> </w:t>
      </w:r>
      <w:r>
        <w:t xml:space="preserve">pass/fail verdict, B.4’s transfer readout, anything where a card’s stop condition</w:t>
      </w:r>
      <w:r>
        <w:t xml:space="preserve"> </w:t>
      </w:r>
      <w:r>
        <w:t xml:space="preserve">fires, and a periodic review pass over completed cards (the pattern that caught the</w:t>
      </w:r>
      <w:r>
        <w:t xml:space="preserve"> </w:t>
      </w:r>
      <w:r>
        <w:t xml:space="preserve">paired-difference overstatement is worth keeping: execute cheap, review strong).</w:t>
      </w:r>
    </w:p>
    <w:p>
      <w:pPr>
        <w:pStyle w:val="Compact"/>
        <w:numPr>
          <w:ilvl w:val="0"/>
          <w:numId w:val="1001"/>
        </w:numPr>
      </w:pPr>
      <w:r>
        <w:t xml:space="preserve">Do not hand a cheaper session an open question (</w:t>
      </w:r>
      <w:r>
        <w:t xml:space="preserve">“does this look right?”</w:t>
      </w:r>
      <w:r>
        <w:t xml:space="preserve">) — hand it</w:t>
      </w:r>
      <w:r>
        <w:t xml:space="preserve"> </w:t>
      </w:r>
      <w:r>
        <w:t xml:space="preserve">a card. When a card’s acceptance criterion cannot be met, the correct output is a</w:t>
      </w:r>
      <w:r>
        <w:t xml:space="preserve"> </w:t>
      </w:r>
      <w:r>
        <w:t xml:space="preserve">short failure report, not an improvisation.</w:t>
      </w:r>
    </w:p>
    <w:bookmarkEnd w:id="9"/>
    <w:bookmarkStart w:id="10" w:name="X21541577705848f99853e8a53789336e72e8cb9"/>
    <w:p>
      <w:pPr>
        <w:pStyle w:val="Heading2"/>
      </w:pPr>
      <w:r>
        <w:t xml:space="preserve">2 Standing rules for every card (read first, they are load conditions)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number that will be quoted anywhere must come from a committed script</w:t>
      </w:r>
      <w:r>
        <w:t xml:space="preserve"> </w:t>
      </w:r>
      <w:r>
        <w:t xml:space="preserve">with its output file tracked. No in-session-only analyses — this rule exists</w:t>
      </w:r>
      <w:r>
        <w:t xml:space="preserve"> </w:t>
      </w:r>
      <w:r>
        <w:t xml:space="preserve">because an uncommitted analysis produced an overstated headline once already</w:t>
      </w:r>
      <w:r>
        <w:t xml:space="preserve"> </w:t>
      </w:r>
      <w:r>
        <w:t xml:space="preserve">(results doc §4.3b-ii, corrected 2026-08-27).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python tests/test_surprise.py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test_comfortzone.py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test_causation.py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test_cutin.py</w:t>
      </w:r>
      <w:r>
        <w:rPr>
          <w:b/>
          <w:bCs/>
        </w:rPr>
        <w:t xml:space="preserve"> </w:t>
      </w:r>
      <w:r>
        <w:rPr>
          <w:b/>
          <w:bCs/>
        </w:rPr>
        <w:t xml:space="preserve">before and after each card</w:t>
      </w:r>
      <w:r>
        <w:t xml:space="preserve">; all must pass. New behavior gets new</w:t>
      </w:r>
      <w:r>
        <w:t xml:space="preserve"> </w:t>
      </w:r>
      <w:r>
        <w:t xml:space="preserve">property tests in the same check() style.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modify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src/aidriver/preferences.py</w:t>
      </w:r>
      <w:r>
        <w:rPr>
          <w:b/>
          <w:bCs/>
        </w:rPr>
        <w:t xml:space="preserve"> </w:t>
      </w:r>
      <w:r>
        <w:rPr>
          <w:b/>
          <w:bCs/>
        </w:rPr>
        <w:t xml:space="preserve">defaults</w:t>
      </w:r>
      <w:r>
        <w:t xml:space="preserve"> </w:t>
      </w:r>
      <w:r>
        <w:t xml:space="preserve">— released behavior is</w:t>
      </w:r>
      <w:r>
        <w:t xml:space="preserve"> </w:t>
      </w:r>
      <w:r>
        <w:t xml:space="preserve">frozen; new behavior goes behind flags defaulting off.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House style</w:t>
      </w:r>
      <w:r>
        <w:t xml:space="preserve"> </w:t>
      </w:r>
      <w:r>
        <w:t xml:space="preserve">for anything written for Jonas: US English, markdown as source,</w:t>
      </w:r>
      <w:r>
        <w:t xml:space="preserve"> </w:t>
      </w:r>
      <w:r>
        <w:t xml:space="preserve">Word + PDF generated (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docs/build_pdf.py</w:t>
      </w:r>
      <w:r>
        <w:t xml:space="preserve">), no period ending a heading,</w:t>
      </w:r>
      <w:r>
        <w:t xml:space="preserve"> </w:t>
      </w:r>
      <w:r>
        <w:t xml:space="preserve">opinions hedged as opinions. OneDrive locks: if a build fails with PermissionError,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-vN</w:t>
      </w:r>
      <w:r>
        <w:t xml:space="preserve"> </w:t>
      </w:r>
      <w:r>
        <w:t xml:space="preserve">name and say 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</w:t>
      </w:r>
      <w:r>
        <w:t xml:space="preserve">: Python 3.14, torch CPU-only, no LaTeX/GPU/gh. Long jobs</w:t>
      </w:r>
      <w:r>
        <w:t xml:space="preserve"> </w:t>
      </w:r>
      <w:r>
        <w:t xml:space="preserve">checkpointed and restartable; background runners never piped through</w:t>
      </w:r>
      <w:r>
        <w:t xml:space="preserve"> </w:t>
      </w:r>
      <w:r>
        <w:rPr>
          <w:rStyle w:val="VerbatimChar"/>
        </w:rPr>
        <w:t xml:space="preserve">tail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Provenance discipline</w:t>
      </w:r>
      <w:r>
        <w:t xml:space="preserve">: cite only verified references; mark anything unverified.</w:t>
      </w:r>
    </w:p>
    <w:bookmarkEnd w:id="10"/>
    <w:bookmarkStart w:id="20" w:name="task-cards"/>
    <w:p>
      <w:pPr>
        <w:pStyle w:val="Heading2"/>
      </w:pPr>
      <w:r>
        <w:t xml:space="preserve">3 Task cards</w:t>
      </w:r>
    </w:p>
    <w:bookmarkStart w:id="11" w:name="card-a.1-synthetic-recovery-harness"/>
    <w:p>
      <w:pPr>
        <w:pStyle w:val="Heading3"/>
      </w:pPr>
      <w:r>
        <w:t xml:space="preserve">Card A.1 — synthetic-recovery harness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prove the stage-1 estimator recovers known parameters before touching</w:t>
      </w:r>
      <w:r>
        <w:t xml:space="preserve"> </w:t>
      </w:r>
      <w:r>
        <w:t xml:space="preserve">real data.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replication/czb/fit_recovery.py</w:t>
      </w:r>
      <w:r>
        <w:t xml:space="preserve">. Simulate the Random cut-in design</w:t>
      </w:r>
      <w:r>
        <w:t xml:space="preserve"> </w:t>
      </w:r>
      <w:r>
        <w:t xml:space="preserve">(43 participants × 18 cells × 4 repetitions) from the generative model in</w:t>
      </w:r>
      <w:r>
        <w:t xml:space="preserve"> </w:t>
      </w:r>
      <w:r>
        <w:rPr>
          <w:rStyle w:val="VerbatimChar"/>
        </w:rPr>
        <w:t xml:space="preserve">docs/czb_fitting_plan.md</w:t>
      </w:r>
      <w:r>
        <w:t xml:space="preserve"> </w:t>
      </w:r>
      <w:r>
        <w:t xml:space="preserve">§2 stage 1: c_i ~ LogNormal(μ, σ), lapse floor b</w:t>
      </w:r>
      <w:r>
        <w:t xml:space="preserve"> </w:t>
      </w:r>
      <w:r>
        <w:t xml:space="preserve">(both variants), P = b + (1−b)·Φ((x − c_i)/σ_resp) with x = the cell’s</w:t>
      </w:r>
      <w:r>
        <w:t xml:space="preserve"> </w:t>
      </w:r>
      <w:r>
        <w:rPr>
          <w:rStyle w:val="VerbatimChar"/>
        </w:rPr>
        <w:t xml:space="preserve">deficit_max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comfortzone.czb_data.random_cutin_trials()</w:t>
      </w:r>
      <w:r>
        <w:t xml:space="preserve">. Fit by MAP in</w:t>
      </w:r>
      <w:r>
        <w:t xml:space="preserve"> </w:t>
      </w:r>
      <w:r>
        <w:t xml:space="preserve">torch (L-BFGS) with Laplace SEs; also fit the a_allowed parameterization (threshold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a_req_max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</w:t>
      </w:r>
      <w:r>
        <w:t xml:space="preserve">: over 20 simulated datasets, population μ and σ recovered within 2</w:t>
      </w:r>
      <w:r>
        <w:t xml:space="preserve"> </w:t>
      </w:r>
      <w:r>
        <w:t xml:space="preserve">Laplace SEs in ≥ 18; per-driver c_i shrinkage visible (posterior means closer to</w:t>
      </w:r>
      <w:r>
        <w:t xml:space="preserve"> </w:t>
      </w:r>
      <w:r>
        <w:t xml:space="preserve">truth than raw per-driver MLEs in RMSE). Runtime under 10 minutes total.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Pitfalls</w:t>
      </w:r>
      <w:r>
        <w:t xml:space="preserve">: identifiability of (c, σ_resp) scale — fix σ_resp’s prior scale from</w:t>
      </w:r>
      <w:r>
        <w:t xml:space="preserve"> </w:t>
      </w:r>
      <w:r>
        <w:t xml:space="preserve">the pilot (≈ 2 200 deficit units); lapse and threshold trade off at C1 — check the</w:t>
      </w:r>
      <w:r>
        <w:t xml:space="preserve"> </w:t>
      </w:r>
      <w:r>
        <w:t xml:space="preserve">recovery specifically at b.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 if</w:t>
      </w:r>
      <w:r>
        <w:t xml:space="preserve">: recovery fails after two honest attempts — report the failure mode,</w:t>
      </w:r>
      <w:r>
        <w:t xml:space="preserve"> </w:t>
      </w:r>
      <w:r>
        <w:t xml:space="preserve">do not loosen the acceptance criterion.</w:t>
      </w:r>
    </w:p>
    <w:bookmarkEnd w:id="11"/>
    <w:bookmarkStart w:id="12" w:name="X7012458fadcc0d15dc90995d0510793cebc8b3f"/>
    <w:p>
      <w:pPr>
        <w:pStyle w:val="Heading3"/>
      </w:pPr>
      <w:r>
        <w:t xml:space="preserve">Card A.2 — stage-1 hierarchical fit, both bias variants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the population distribution of the boundary level, and the bias-model</w:t>
      </w:r>
      <w:r>
        <w:t xml:space="preserve"> </w:t>
      </w:r>
      <w:r>
        <w:t xml:space="preserve">decision.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replication/czb/fit_stage1.py</w:t>
      </w:r>
      <w:r>
        <w:t xml:space="preserve">, reusing A.1’s model code on the real</w:t>
      </w:r>
      <w:r>
        <w:t xml:space="preserve"> </w:t>
      </w:r>
      <w:r>
        <w:t xml:space="preserve">trials. Fit all four combinations: {deficit axis, a_req axis} × {group-level b,</w:t>
      </w:r>
      <w:r>
        <w:t xml:space="preserve"> </w:t>
      </w:r>
      <w:r>
        <w:t xml:space="preserve">hierarchical b_i}. The ordered braking-expectation response enters as two nested</w:t>
      </w:r>
      <w:r>
        <w:t xml:space="preserve"> </w:t>
      </w:r>
      <w:r>
        <w:t xml:space="preserve">thresholds (fitting plan §2); both levels free per roadmap §0b.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replication/czb/out/stage1_summary.md</w:t>
      </w:r>
      <w:r>
        <w:t xml:space="preserve">): population μ, σ with SEs;</w:t>
      </w:r>
      <w:r>
        <w:t xml:space="preserve"> </w:t>
      </w:r>
      <w:r>
        <w:t xml:space="preserve">percentile table (50–95 in steps of 5) of the population distribution with CIs;</w:t>
      </w:r>
      <w:r>
        <w:t xml:space="preserve"> </w:t>
      </w:r>
      <w:r>
        <w:t xml:space="preserve">held-out log-likelihood (leave-one-participant-out, 43 folds); posterior predictive</w:t>
      </w:r>
      <w:r>
        <w:t xml:space="preserve"> </w:t>
      </w:r>
      <w:r>
        <w:t xml:space="preserve">P(intervene) per C1 cell against observed; fitted comfort and dread levels</w:t>
      </w:r>
      <w:r>
        <w:t xml:space="preserve"> </w:t>
      </w:r>
      <w:r>
        <w:t xml:space="preserve">translated to a_allowed units and to steady-following THW at 20 m/s via</w:t>
      </w:r>
      <w:r>
        <w:t xml:space="preserve"> </w:t>
      </w:r>
      <w:r>
        <w:rPr>
          <w:rStyle w:val="VerbatimChar"/>
        </w:rPr>
        <w:t xml:space="preserve">comfortzone.field.critical_thw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Accept</w:t>
      </w:r>
      <w:r>
        <w:t xml:space="preserve">: all four fits converge; the summary table renders; LOPO likelihood</w:t>
      </w:r>
      <w:r>
        <w:t xml:space="preserve"> </w:t>
      </w:r>
      <w:r>
        <w:t xml:space="preserve">distinguishes the bias variants or states that it cannot.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Stop if</w:t>
      </w:r>
      <w:r>
        <w:t xml:space="preserve">: the C1 cells misfit under both bias variants (systematic sign pattern</w:t>
      </w:r>
      <w:r>
        <w:t xml:space="preserve"> </w:t>
      </w:r>
      <w:r>
        <w:t xml:space="preserve">across criticalities) — that is the anticipation-leak question and needs review.</w:t>
      </w:r>
    </w:p>
    <w:bookmarkEnd w:id="12"/>
    <w:bookmarkStart w:id="13" w:name="Xbeb80fc684e59d248c2830b01171a26507f84a9"/>
    <w:p>
      <w:pPr>
        <w:pStyle w:val="Heading3"/>
      </w:pPr>
      <w:r>
        <w:t xml:space="preserve">Card A.3 — the accumulator layer (review gate on its verdict)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the pre-registered test: does time-integration close the within-scenario</w:t>
      </w:r>
      <w:r>
        <w:t xml:space="preserve"> </w:t>
      </w:r>
      <w:r>
        <w:t xml:space="preserve">gap?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replication/czb/fit_stage2.py</w:t>
      </w:r>
      <w:r>
        <w:t xml:space="preserve">. Evidence = the per-frame deficit series</w:t>
      </w:r>
      <w:r>
        <w:t xml:space="preserve"> </w:t>
      </w:r>
      <w:r>
        <w:t xml:space="preserve">(not the running max) from</w:t>
      </w:r>
      <w:r>
        <w:t xml:space="preserve"> </w:t>
      </w:r>
      <w:r>
        <w:rPr>
          <w:rStyle w:val="VerbatimChar"/>
        </w:rPr>
        <w:t xml:space="preserve">stimulus_field</w:t>
      </w:r>
      <w:r>
        <w:t xml:space="preserve">; linear accumulator with gain and</w:t>
      </w:r>
      <w:r>
        <w:t xml:space="preserve"> </w:t>
      </w:r>
      <w:r>
        <w:t xml:space="preserve">noise, threshold from A.2’s c_i; P(crossed by clip end) per trial via the</w:t>
      </w:r>
      <w:r>
        <w:t xml:space="preserve"> </w:t>
      </w:r>
      <w:r>
        <w:t xml:space="preserve">closed-form Gaussian first-passage approximation or 200-path simulation per cell</w:t>
      </w:r>
      <w:r>
        <w:t xml:space="preserve"> </w:t>
      </w:r>
      <w:r>
        <w:t xml:space="preserve">(cells share stimuli, so simulate per cell, not per trial). Motor latency fixed at</w:t>
      </w:r>
      <w:r>
        <w:t xml:space="preserve"> </w:t>
      </w:r>
      <w:r>
        <w:t xml:space="preserve">0.25 s; sensitivity refits at 0.15 and 0.35 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 / decision rule (pre-stated)</w:t>
      </w:r>
      <w:r>
        <w:t xml:space="preserve">: held-out (leave-one-criticality-out) RMSE</w:t>
      </w:r>
      <w:r>
        <w:t xml:space="preserve"> </w:t>
      </w:r>
      <w:r>
        <w:t xml:space="preserve">on the 18-cell surface ≤ 0.11 counts as closing the gap (the 2D state rule’s 0.120</w:t>
      </w:r>
      <w:r>
        <w:t xml:space="preserve"> </w:t>
      </w:r>
      <w:r>
        <w:t xml:space="preserve">and the design ceiling’s ~0.10 bracket the target); &gt; 0.13 counts as failure and</w:t>
      </w:r>
      <w:r>
        <w:t xml:space="preserve"> </w:t>
      </w:r>
      <w:r>
        <w:t xml:space="preserve">is reported as evidence against the framework per the assessment.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Stop if</w:t>
      </w:r>
      <w:r>
        <w:t xml:space="preserve">: the fitted gain wants to be so large the accumulator degenerates to</w:t>
      </w:r>
      <w:r>
        <w:t xml:space="preserve"> </w:t>
      </w:r>
      <w:r>
        <w:t xml:space="preserve">the static threshold — report, since that itself answers the question.</w:t>
      </w:r>
    </w:p>
    <w:bookmarkEnd w:id="13"/>
    <w:bookmarkStart w:id="14" w:name="card-a.4-button-side-validation"/>
    <w:p>
      <w:pPr>
        <w:pStyle w:val="Heading3"/>
      </w:pPr>
      <w:r>
        <w:t xml:space="preserve">Card A.4 — button-side validation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predict the press-time densities from the Random-fitted model with one</w:t>
      </w:r>
      <w:r>
        <w:t xml:space="preserve"> </w:t>
      </w:r>
      <w:r>
        <w:t xml:space="preserve">paradigm shift.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replication/czb/validate_button.py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czb_data.button_cutin_trials()</w:t>
      </w:r>
      <w:r>
        <w:t xml:space="preserve">. Fit δ once as a threshold shift and once as a</w:t>
      </w:r>
      <w:r>
        <w:t xml:space="preserve"> </w:t>
      </w:r>
      <w:r>
        <w:t xml:space="preserve">gain shift; compare predicted vs observed press-time distributions per criticality</w:t>
      </w:r>
      <w:r>
        <w:t xml:space="preserve"> </w:t>
      </w:r>
      <w:r>
        <w:t xml:space="preserve">(QQ plots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 one page) and report which shape fits.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Accept</w:t>
      </w:r>
      <w:r>
        <w:t xml:space="preserve">: the documented cross-paradigm excess (+0.26 at TTC6) is reproduced by</w:t>
      </w:r>
      <w:r>
        <w:t xml:space="preserve"> </w:t>
      </w:r>
      <w:r>
        <w:t xml:space="preserve">the shifted model within 0.05 at the fixed-clip checkpoints.</w:t>
      </w:r>
    </w:p>
    <w:bookmarkEnd w:id="14"/>
    <w:bookmarkStart w:id="15" w:name="Xe9b12db9ccf940c2e98352feae798e2c271a525"/>
    <w:p>
      <w:pPr>
        <w:pStyle w:val="Heading3"/>
      </w:pPr>
      <w:r>
        <w:t xml:space="preserve">Cards B.1–B.3 — transfer-scenario field constructions</w:t>
      </w:r>
    </w:p>
    <w:p>
      <w:pPr>
        <w:pStyle w:val="FirstParagraph"/>
      </w:pPr>
      <w:r>
        <w:t xml:space="preserve">Template for each: a loader in</w:t>
      </w:r>
      <w:r>
        <w:t xml:space="preserve"> </w:t>
      </w:r>
      <w:r>
        <w:rPr>
          <w:rStyle w:val="VerbatimChar"/>
        </w:rPr>
        <w:t xml:space="preserve">src/comfortzone/&lt;scenario&gt;.py</w:t>
      </w:r>
      <w:r>
        <w:t xml:space="preserve"> </w:t>
      </w:r>
      <w:r>
        <w:t xml:space="preserve">following</w:t>
      </w:r>
      <w:r>
        <w:t xml:space="preserve"> </w:t>
      </w:r>
      <w:r>
        <w:rPr>
          <w:rStyle w:val="VerbatimChar"/>
        </w:rPr>
        <w:t xml:space="preserve">cutin.py</w:t>
      </w:r>
      <w:r>
        <w:t xml:space="preserve">’s</w:t>
      </w:r>
      <w:r>
        <w:t xml:space="preserve"> </w:t>
      </w:r>
      <w:r>
        <w:t xml:space="preserve">structure (role assignment appropriate to the scenario —</w:t>
      </w:r>
      <w:r>
        <w:t xml:space="preserve"> </w:t>
      </w:r>
      <w:r>
        <w:rPr>
          <w:b/>
          <w:bCs/>
        </w:rPr>
        <w:t xml:space="preserve">by instructed vehicle, not</w:t>
      </w:r>
      <w:r>
        <w:rPr>
          <w:b/>
          <w:bCs/>
        </w:rPr>
        <w:t xml:space="preserve"> </w:t>
      </w:r>
      <w:r>
        <w:rPr>
          <w:b/>
          <w:bCs/>
        </w:rPr>
        <w:t xml:space="preserve">lateral span</w:t>
      </w:r>
      <w:r>
        <w:t xml:space="preserve">), a field check script in</w:t>
      </w:r>
      <w:r>
        <w:t xml:space="preserve"> </w:t>
      </w:r>
      <w:r>
        <w:rPr>
          <w:rStyle w:val="VerbatimChar"/>
        </w:rPr>
        <w:t xml:space="preserve">replication/czb/</w:t>
      </w:r>
      <w:r>
        <w:t xml:space="preserve"> </w:t>
      </w:r>
      <w:r>
        <w:t xml:space="preserve">producing a</w:t>
      </w:r>
      <w:r>
        <w:t xml:space="preserve"> </w:t>
      </w:r>
      <w:r>
        <w:t xml:space="preserve">per-criticality deficit figure, property tests, and the PS-versus-field correlation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ps_vs_field.py</w:t>
      </w:r>
      <w:r>
        <w:t xml:space="preserve"> </w:t>
      </w:r>
      <w:r>
        <w:t xml:space="preserve">pattern) as the acceptance readout.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B.1 cyclist overtake</w:t>
      </w:r>
      <w:r>
        <w:t xml:space="preserve"> </w:t>
      </w:r>
      <w:r>
        <w:t xml:space="preserve">(first): ego closes on a cyclist in lane; rear-end field</w:t>
      </w:r>
      <w:r>
        <w:t xml:space="preserve"> </w:t>
      </w:r>
      <w:r>
        <w:t xml:space="preserve">nearly unchanged; criticality = lateral clearance 0.5/1/1.5 m, so the lateral term</w:t>
      </w:r>
      <w:r>
        <w:t xml:space="preserve"> </w:t>
      </w:r>
      <w:r>
        <w:t xml:space="preserve">matters — use the actual clearance in</w:t>
      </w:r>
      <w:r>
        <w:t xml:space="preserve"> </w:t>
      </w:r>
      <w:r>
        <w:rPr>
          <w:rStyle w:val="VerbatimChar"/>
        </w:rPr>
        <w:t xml:space="preserve">dy</w:t>
      </w:r>
      <w:r>
        <w:t xml:space="preserve">, widths from the trace (cyclist ≈ 0.6 m).</w:t>
      </w:r>
      <w:r>
        <w:t xml:space="preserve"> </w:t>
      </w:r>
      <w:r>
        <w:t xml:space="preserve">Accept: deficit ordered by clearance at C2–C5; cell-level PS Spearman ρ reported.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B.2 truck overtake / truck lateral</w:t>
      </w:r>
      <w:r>
        <w:t xml:space="preserve">: ego passes a truck with clearance variants;</w:t>
      </w:r>
      <w:r>
        <w:t xml:space="preserve"> </w:t>
      </w:r>
      <w:r>
        <w:t xml:space="preserve">the conflict is lateral, so P_lane runs on the</w:t>
      </w:r>
      <w:r>
        <w:t xml:space="preserve"> </w:t>
      </w:r>
      <w:r>
        <w:rPr>
          <w:i/>
          <w:iCs/>
        </w:rPr>
        <w:t xml:space="preserve">lateral closing</w:t>
      </w:r>
      <w:r>
        <w:t xml:space="preserve"> </w:t>
      </w:r>
      <w:r>
        <w:t xml:space="preserve">induced by the</w:t>
      </w:r>
      <w:r>
        <w:t xml:space="preserve"> </w:t>
      </w:r>
      <w:r>
        <w:t xml:space="preserve">truck’s drift (</w:t>
      </w:r>
      <w:r>
        <w:rPr>
          <w:rStyle w:val="VerbatimChar"/>
        </w:rPr>
        <w:t xml:space="preserve">truck_lateral_movement</w:t>
      </w:r>
      <w:r>
        <w:t xml:space="preserve"> </w:t>
      </w:r>
      <w:r>
        <w:t xml:space="preserve">traces) and the clearance term carries the</w:t>
      </w:r>
      <w:r>
        <w:t xml:space="preserve"> </w:t>
      </w:r>
      <w:r>
        <w:t xml:space="preserve">statics. Accept: same criteria; also record whether the zero-deficit issue appears.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B.3 LTAP</w:t>
      </w:r>
      <w:r>
        <w:t xml:space="preserve">: crossing geometry. Build arrival-time separation at the conflict</w:t>
      </w:r>
      <w:r>
        <w:t xml:space="preserve"> </w:t>
      </w:r>
      <w:r>
        <w:t xml:space="preserve">zone (the intersection scenario’s construction): compute each vehicle’s time to the</w:t>
      </w:r>
      <w:r>
        <w:t xml:space="preserve"> </w:t>
      </w:r>
      <w:r>
        <w:t xml:space="preserve">crossing-region entry/exit from the traces, and gate the collision/safety terms by</w:t>
      </w:r>
      <w:r>
        <w:t xml:space="preserve"> </w:t>
      </w:r>
      <w:r>
        <w:t xml:space="preserve">predicted co-occupancy (the P_lane idea with lateral overlap replaced by zone</w:t>
      </w:r>
      <w:r>
        <w:t xml:space="preserve"> </w:t>
      </w:r>
      <w:r>
        <w:t xml:space="preserve">co-occupancy). This card has real design content —</w:t>
      </w:r>
      <w:r>
        <w:t xml:space="preserve"> </w:t>
      </w:r>
      <w:r>
        <w:rPr>
          <w:b/>
          <w:bCs/>
        </w:rPr>
        <w:t xml:space="preserve">write the construction note</w:t>
      </w:r>
      <w:r>
        <w:rPr>
          <w:b/>
          <w:bCs/>
        </w:rPr>
        <w:t xml:space="preserve"> </w:t>
      </w:r>
      <w:r>
        <w:rPr>
          <w:b/>
          <w:bCs/>
        </w:rPr>
        <w:t xml:space="preserve">first (1 page, the lane-entry-note pattern) and get it reviewed before coding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Stop for all three if</w:t>
      </w:r>
      <w:r>
        <w:t xml:space="preserve">: a trace family’s geometry does not fit the template</w:t>
      </w:r>
      <w:r>
        <w:t xml:space="preserve"> </w:t>
      </w:r>
      <w:r>
        <w:t xml:space="preserve">(e.g. missing vehicle, broken dimensions beyond the documented truck case).</w:t>
      </w:r>
    </w:p>
    <w:bookmarkEnd w:id="15"/>
    <w:bookmarkStart w:id="16" w:name="X2e740bdde0311d32c80d142a3abf565c10676ee"/>
    <w:p>
      <w:pPr>
        <w:pStyle w:val="Heading3"/>
      </w:pPr>
      <w:r>
        <w:t xml:space="preserve">Card B.4 — the transfer test (review gate; do not run before A.3 and B.1–B.3)</w:t>
      </w:r>
    </w:p>
    <w:p>
      <w:pPr>
        <w:pStyle w:val="Compact"/>
        <w:numPr>
          <w:ilvl w:val="0"/>
          <w:numId w:val="1008"/>
        </w:numPr>
      </w:pPr>
      <w:r>
        <w:t xml:space="preserve">Fit on cut-in only (A.2/A.3 configuration frozen); predict each transfer scenario’s</w:t>
      </w:r>
      <w:r>
        <w:t xml:space="preserve"> </w:t>
      </w:r>
      <w:r>
        <w:t xml:space="preserve">response surface with no refit. Primary: no per-scenario shift. Secondary: one</w:t>
      </w:r>
      <w:r>
        <w:t xml:space="preserve"> </w:t>
      </w:r>
      <w:r>
        <w:t xml:space="preserve">instruction shift per scenario. Comparators on identical folds: per-scenario 2D</w:t>
      </w:r>
      <w:r>
        <w:t xml:space="preserve"> </w:t>
      </w:r>
      <w:r>
        <w:t xml:space="preserve">state rules (1/TTC-analogue + the scenario’s own second observable), and — once</w:t>
      </w:r>
      <w:r>
        <w:t xml:space="preserve"> </w:t>
      </w:r>
      <w:r>
        <w:t xml:space="preserve">specified with Jonas — the elliptical joint on the same observables.</w:t>
      </w:r>
    </w:p>
    <w:p>
      <w:pPr>
        <w:pStyle w:val="Compact"/>
        <w:numPr>
          <w:ilvl w:val="0"/>
          <w:numId w:val="1008"/>
        </w:numPr>
      </w:pPr>
      <w:r>
        <w:t xml:space="preserve">Output: one table, per scenario × model: held-out corr and RMSE against (a) chance</w:t>
      </w:r>
      <w:r>
        <w:t xml:space="preserve"> </w:t>
      </w:r>
      <w:r>
        <w:t xml:space="preserve">and (b) the per-scenario-refit ceiling. No verdict prose from the executing</w:t>
      </w:r>
      <w:r>
        <w:t xml:space="preserve"> </w:t>
      </w:r>
      <w:r>
        <w:t xml:space="preserve">session; the verdict is a review task.</w:t>
      </w:r>
    </w:p>
    <w:bookmarkEnd w:id="16"/>
    <w:bookmarkStart w:id="17" w:name="card-c-percentile-sensitivity"/>
    <w:p>
      <w:pPr>
        <w:pStyle w:val="Heading3"/>
      </w:pPr>
      <w:r>
        <w:t xml:space="preserve">Card C — percentile sensitivity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replication/czb/percentile_sensitivity.py</w:t>
      </w:r>
      <w:r>
        <w:t xml:space="preserve"> </w:t>
      </w:r>
      <w:r>
        <w:t xml:space="preserve">from A.2’s population distribution:</w:t>
      </w:r>
      <w:r>
        <w:t xml:space="preserve"> </w:t>
      </w:r>
      <w:r>
        <w:t xml:space="preserve">implied trigger onset per stimulus for percentiles 50–95 (step 5) × a_allowed on</w:t>
      </w:r>
      <w:r>
        <w:t xml:space="preserve"> </w:t>
      </w:r>
      <w:r>
        <w:t xml:space="preserve">the fitted comfort–dread range; report d(onset)/d(5 percentile points) in seconds</w:t>
      </w:r>
      <w:r>
        <w:t xml:space="preserve"> </w:t>
      </w:r>
      <w:r>
        <w:t xml:space="preserve">against the percentile’s own CI width. One figure, one table.</w:t>
      </w:r>
    </w:p>
    <w:bookmarkEnd w:id="17"/>
    <w:bookmarkStart w:id="18" w:name="Xab5693df3d10b816b24afc842194bc9dbb4fe22"/>
    <w:p>
      <w:pPr>
        <w:pStyle w:val="Heading3"/>
      </w:pPr>
      <w:r>
        <w:t xml:space="preserve">Card E.1 — closed-form versus sampled lane-entry expectation</w:t>
      </w:r>
    </w:p>
    <w:p>
      <w:pPr>
        <w:pStyle w:val="Compact"/>
        <w:numPr>
          <w:ilvl w:val="0"/>
          <w:numId w:val="1010"/>
        </w:numPr>
      </w:pPr>
      <w:r>
        <w:t xml:space="preserve">Monte Carlo the released binary gates under steering noise (heading random walk,</w:t>
      </w:r>
      <w:r>
        <w:t xml:space="preserve"> </w:t>
      </w:r>
      <w:r>
        <w:t xml:space="preserve">σ_ω =</w:t>
      </w:r>
      <w:r>
        <w:t xml:space="preserve"> </w:t>
      </w:r>
      <w:r>
        <w:rPr>
          <w:rStyle w:val="VerbatimChar"/>
        </w:rPr>
        <w:t xml:space="preserve">CUTIN_W_SD_MODEL</w:t>
      </w:r>
      <w:r>
        <w:t xml:space="preserve">, the model’s own dt) along the 12 cut-in clips; compare</w:t>
      </w:r>
      <w:r>
        <w:t xml:space="preserve"> </w:t>
      </w:r>
      <w:r>
        <w:t xml:space="preserve">the sampled conflict-probability with</w:t>
      </w:r>
      <w:r>
        <w:t xml:space="preserve"> </w:t>
      </w:r>
      <w:r>
        <w:rPr>
          <w:rStyle w:val="VerbatimChar"/>
        </w:rPr>
        <w:t xml:space="preserve">lane_entry_weight</w:t>
      </w:r>
      <w:r>
        <w:t xml:space="preserve">. Accept: max absolute</w:t>
      </w:r>
      <w:r>
        <w:t xml:space="preserve"> </w:t>
      </w:r>
      <w:r>
        <w:t xml:space="preserve">difference reported per clip; agreement within ~0.15 through the response window</w:t>
      </w:r>
      <w:r>
        <w:t xml:space="preserve"> </w:t>
      </w:r>
      <w:r>
        <w:t xml:space="preserve">validates the closed form, larger structured disagreement goes to review.</w:t>
      </w:r>
    </w:p>
    <w:bookmarkEnd w:id="18"/>
    <w:bookmarkStart w:id="19" w:name="cards-e.2-e.3-and-d"/>
    <w:p>
      <w:pPr>
        <w:pStyle w:val="Heading3"/>
      </w:pPr>
      <w:r>
        <w:t xml:space="preserve">Cards E.2, E.3 and D</w:t>
      </w:r>
    </w:p>
    <w:p>
      <w:pPr>
        <w:pStyle w:val="FirstParagraph"/>
      </w:pPr>
      <w:r>
        <w:t xml:space="preserve">Deliberately not carded for cheap execution: E.2 (uncertainty term) and E.3</w:t>
      </w:r>
      <w:r>
        <w:t xml:space="preserve"> </w:t>
      </w:r>
      <w:r>
        <w:t xml:space="preserve">(policy-set field) involve model design, and D (safety audit) touches the causation</w:t>
      </w:r>
      <w:r>
        <w:t xml:space="preserve"> </w:t>
      </w:r>
      <w:r>
        <w:t xml:space="preserve">runner’s intervention injection. These get cards after their design notes exist.</w:t>
      </w:r>
    </w:p>
    <w:bookmarkEnd w:id="19"/>
    <w:bookmarkEnd w:id="20"/>
    <w:bookmarkStart w:id="21" w:name="suggested-session-pattern"/>
    <w:p>
      <w:pPr>
        <w:pStyle w:val="Heading2"/>
      </w:pPr>
      <w:r>
        <w:t xml:space="preserve">4 Suggested session pattern</w:t>
      </w:r>
    </w:p>
    <w:p>
      <w:pPr>
        <w:pStyle w:val="FirstParagraph"/>
      </w:pPr>
      <w:r>
        <w:t xml:space="preserve">One card per session, in card order within a stage; start each session with</w:t>
      </w:r>
      <w:r>
        <w:t xml:space="preserve"> </w:t>
      </w:r>
      <w:r>
        <w:t xml:space="preserve">“read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docs/czb_work_orders.md</w:t>
      </w:r>
      <w:r>
        <w:t xml:space="preserve">, then</w:t>
      </w:r>
      <w:r>
        <w:t xml:space="preserve"> </w:t>
      </w:r>
      <w:r>
        <w:t xml:space="preserve">execute card X and nothing else”</w:t>
      </w:r>
      <w:r>
        <w:t xml:space="preserve">; end each with the card’s report, a commit whose</w:t>
      </w:r>
      <w:r>
        <w:t xml:space="preserve"> </w:t>
      </w:r>
      <w:r>
        <w:t xml:space="preserve">message names the card, and one paragraph appended to the running log in</w:t>
      </w:r>
      <w:r>
        <w:t xml:space="preserve"> </w:t>
      </w:r>
      <w:r>
        <w:rPr>
          <w:rStyle w:val="VerbatimChar"/>
        </w:rPr>
        <w:t xml:space="preserve">replication/czb/out/worklog.md</w:t>
      </w:r>
      <w:r>
        <w:t xml:space="preserve">. Review sessions (stronger model) after A.2, A.3,</w:t>
      </w:r>
      <w:r>
        <w:t xml:space="preserve"> </w:t>
      </w:r>
      <w:r>
        <w:t xml:space="preserve">and B.4 at minimum.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2026-08-27T07:51:51Z</dcterms:created>
  <dcterms:modified xsi:type="dcterms:W3CDTF">2026-08-27T07:51:51Z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