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14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  <w:r>
        <w:t xml:space="preserve"> </w:t>
      </w:r>
      <w:r>
        <w:rPr>
          <w:i/>
          <w:iCs/>
        </w:rPr>
        <w:t xml:space="preserve">[Rewritten 2026-08-28 after the B.1 arc and the arrival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02_Cut-in</w:t>
      </w:r>
      <w:r>
        <w:rPr>
          <w:i/>
          <w:iCs/>
        </w:rPr>
        <w:t xml:space="preserve">. The gate now</w:t>
      </w:r>
      <w:r>
        <w:rPr>
          <w:i/>
          <w:iCs/>
        </w:rPr>
        <w:t xml:space="preserve"> </w:t>
      </w:r>
      <w:r>
        <w:rPr>
          <w:i/>
          <w:iCs/>
        </w:rPr>
        <w:t xml:space="preserve">has a decisive dataset and a much sharper question than when it was drafted.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Read</w:t>
      </w:r>
      <w:r>
        <w:rPr>
          <w:b/>
          <w:bCs/>
          <w:i/>
          <w:iCs/>
        </w:rPr>
        <w:t xml:space="preserve"> </w:t>
      </w:r>
      <w:r>
        <w:rPr>
          <w:rStyle w:val="VerbatimChar"/>
          <w:b/>
          <w:bCs/>
          <w:i/>
          <w:iCs/>
        </w:rPr>
        <w:t xml:space="preserve">handover_2026-08-28.md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§1–2 first.</w:t>
      </w:r>
      <w:r>
        <w:rPr>
          <w:i/>
          <w:iCs/>
        </w:rPr>
        <w:t xml:space="preserve">]</w:t>
      </w:r>
    </w:p>
    <w:bookmarkEnd w:id="13"/>
    <w:bookmarkEnd w:id="14"/>
    <w:bookmarkStart w:id="27" w:name="X28cf394cb435e6e57cdc3e40680e3b74e8d8ccb"/>
    <w:p>
      <w:pPr>
        <w:pStyle w:val="Heading2"/>
      </w:pPr>
      <w:r>
        <w:t xml:space="preserve">What this gate must decide, in priority order</w:t>
      </w:r>
    </w:p>
    <w:p>
      <w:pPr>
        <w:pStyle w:val="FirstParagraph"/>
      </w:pPr>
      <w:r>
        <w:rPr>
          <w:b/>
          <w:bCs/>
        </w:rPr>
        <w:t xml:space="preserve">1. Is the preference field the right scalar at all?</w:t>
      </w:r>
      <w:r>
        <w:t xml:space="preserve"> </w:t>
      </w:r>
      <w:r>
        <w:t xml:space="preserve">This is now the live question,</w:t>
      </w:r>
      <w:r>
        <w:t xml:space="preserve"> </w:t>
      </w:r>
      <w:r>
        <w:t xml:space="preserve">and it was not before. In the study-1 cut-in design relative speed is constant, so</w:t>
      </w:r>
      <w:r>
        <w:t xml:space="preserve"> </w:t>
      </w:r>
      <w:r>
        <w:t xml:space="preserve">correlation(gap, TTC) = 1.0000 and every longitudinal fit is equally consistent with a</w:t>
      </w:r>
      <w:r>
        <w:t xml:space="preserve"> </w:t>
      </w:r>
      <w:r>
        <w:t xml:space="preserve">gap threshold. The second cut-in study breaks that: over 10 944 trials, gap orders the</w:t>
      </w:r>
      <w:r>
        <w:t xml:space="preserve"> </w:t>
      </w:r>
      <w:r>
        <w:t xml:space="preserve">response at ρ −0.887, TTC at −0.807, and required deceleration — the quantity our safety</w:t>
      </w:r>
      <w:r>
        <w:t xml:space="preserve"> </w:t>
      </w:r>
      <w:r>
        <w:t xml:space="preserve">terms are built from — at +0.238.</w:t>
      </w:r>
      <w:r>
        <w:t xml:space="preserve"> </w:t>
      </w:r>
      <w:r>
        <w:rPr>
          <w:b/>
          <w:bCs/>
        </w:rPr>
        <w:t xml:space="preserve">The first task is to fit the existing field to the</w:t>
      </w:r>
      <w:r>
        <w:rPr>
          <w:b/>
          <w:bCs/>
        </w:rPr>
        <w:t xml:space="preserve"> </w:t>
      </w:r>
      <w:r>
        <w:rPr>
          <w:b/>
          <w:bCs/>
        </w:rPr>
        <w:t xml:space="preserve">second cut-in study and compare it against a one-parameter gap threshold on 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held-out folds.</w:t>
      </w:r>
      <w:r>
        <w:t xml:space="preserve"> </w:t>
      </w:r>
      <w:r>
        <w:t xml:space="preserve">If the field does not beat a gap threshold there, the honest conclusion</w:t>
      </w:r>
      <w:r>
        <w:t xml:space="preserve"> </w:t>
      </w:r>
      <w:r>
        <w:t xml:space="preserve">is that the field’s kinematic content is not carrying the explanation, and the project’s</w:t>
      </w:r>
      <w:r>
        <w:t xml:space="preserve"> </w:t>
      </w:r>
      <w:r>
        <w:t xml:space="preserve">claim has to be restated around what does survive (the transfer trait, §4 below) rather</w:t>
      </w:r>
      <w:r>
        <w:t xml:space="preserve"> </w:t>
      </w:r>
      <w:r>
        <w:t xml:space="preserve">than around active inference as a mechanism. Pre-register the comparison before running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Diagnose the C1 inversion</w:t>
      </w:r>
      <w:r>
        <w:t xml:space="preserve"> </w:t>
      </w:r>
      <w:r>
        <w:t xml:space="preserve">(blocker B2.Q1). At C1 the cut-in conditions differ</w:t>
      </w:r>
      <w:r>
        <w:t xml:space="preserve"> </w:t>
      </w:r>
      <w:r>
        <w:t xml:space="preserve">two-fold in gap and behaviour is ordered accordingly, but the field ranks them backwards</w:t>
      </w:r>
      <w:r>
        <w:t xml:space="preserve"> </w:t>
      </w:r>
      <w:r>
        <w:t xml:space="preserve">(deficit 1 / 1509 / 2907 for gaps 10.5 / 16.0 / 21.5 m). The lane gate is the obvious</w:t>
      </w:r>
      <w:r>
        <w:t xml:space="preserve"> </w:t>
      </w:r>
      <w:r>
        <w:t xml:space="preserve">suspect. Until this is fixed the fitted lapse is absorbing real boundary signal and</w:t>
      </w:r>
      <w:r>
        <w:t xml:space="preserve"> </w:t>
      </w:r>
      <w:r>
        <w:t xml:space="preserve">should not be called a response floor. Cheap, and it gates the interpretation of every</w:t>
      </w:r>
      <w:r>
        <w:t xml:space="preserve"> </w:t>
      </w:r>
      <w:r>
        <w:t xml:space="preserve">existing fit.</w:t>
      </w:r>
    </w:p>
    <w:p>
      <w:pPr>
        <w:pStyle w:val="BodyText"/>
      </w:pPr>
      <w:r>
        <w:rPr>
          <w:b/>
          <w:bCs/>
        </w:rPr>
        <w:t xml:space="preserve">3. Decide the lateral term</w:t>
      </w:r>
      <w:r>
        <w:t xml:space="preserve"> </w:t>
      </w:r>
      <w:r>
        <w:t xml:space="preserve">— the original purpose of this gate. The cyclist overtake</w:t>
      </w:r>
      <w:r>
        <w:t xml:space="preserve"> </w:t>
      </w:r>
      <w:r>
        <w:t xml:space="preserve">needs a lateral</w:t>
      </w:r>
      <w:r>
        <w:t xml:space="preserve"> </w:t>
      </w:r>
      <w:r>
        <w:rPr>
          <w:i/>
          <w:iCs/>
        </w:rPr>
        <w:t xml:space="preserve">comfort</w:t>
      </w:r>
      <w:r>
        <w:t xml:space="preserve"> </w:t>
      </w:r>
      <w:r>
        <w:t xml:space="preserve">term;</w:t>
      </w:r>
      <w:r>
        <w:t xml:space="preserve"> </w:t>
      </w:r>
      <w:r>
        <w:rPr>
          <w:rStyle w:val="VerbatimChar"/>
        </w:rPr>
        <w:t xml:space="preserve">p_lane</w:t>
      </w:r>
      <w:r>
        <w:t xml:space="preserve"> </w:t>
      </w:r>
      <w:r>
        <w:t xml:space="preserve">saturates at 0.843–1.000 and the symmetric</w:t>
      </w:r>
      <w:r>
        <w:t xml:space="preserve"> </w:t>
      </w:r>
      <w:r>
        <w:t xml:space="preserve">projection over-corrects. Kolekar et al.’s Driver’s Risk Field is the strongest donor:</w:t>
      </w:r>
      <w:r>
        <w:t xml:space="preserve"> </w:t>
      </w:r>
      <w:r>
        <w:t xml:space="preserve">same claim as ours (</w:t>
      </w:r>
      <w:r>
        <w:t xml:space="preserve">“keep a scalar below a threshold”</w:t>
      </w:r>
      <w:r>
        <w:t xml:space="preserve">), lateral dimension built in,</w:t>
      </w:r>
      <w:r>
        <w:t xml:space="preserve"> </w:t>
      </w:r>
      <w:r>
        <w:t xml:space="preserve">validated on overtaking. Decide whether to re-derive the spread from our own predictive</w:t>
      </w:r>
      <w:r>
        <w:t xml:space="preserve"> </w:t>
      </w:r>
      <w:r>
        <w:t xml:space="preserve">model or adopt the DRF’s form (Gaussian cross-section, parabolic height to a</w:t>
      </w:r>
      <w:r>
        <w:t xml:space="preserve"> </w:t>
      </w:r>
      <w:r>
        <w:t xml:space="preserve">speed-scaled look-ahead, width linear in arc length and steering).</w:t>
      </w:r>
    </w:p>
    <w:p>
      <w:pPr>
        <w:pStyle w:val="BodyText"/>
      </w:pPr>
      <w:r>
        <w:rPr>
          <w:b/>
          <w:bCs/>
        </w:rPr>
        <w:t xml:space="preserve">4. Rule on what survives regardless.</w:t>
      </w:r>
      <w:r>
        <w:t xml:space="preserve"> </w:t>
      </w:r>
      <w:r>
        <w:t xml:space="preserve">The cross-scenario result needs no field:</w:t>
      </w:r>
      <w:r>
        <w:t xml:space="preserve"> </w:t>
      </w:r>
      <w:r>
        <w:t xml:space="preserve">~69% of the reliable per-driver signal is shared across all four scenarios. That</w:t>
      </w:r>
      <w:r>
        <w:t xml:space="preserve"> </w:t>
      </w:r>
      <w:r>
        <w:t xml:space="preserve">supports the one-scalar</w:t>
      </w:r>
      <w:r>
        <w:t xml:space="preserve"> </w:t>
      </w:r>
      <w:r>
        <w:rPr>
          <w:i/>
          <w:iCs/>
        </w:rPr>
        <w:t xml:space="preserve">trait</w:t>
      </w:r>
      <w:r>
        <w:t xml:space="preserve"> </w:t>
      </w:r>
      <w:r>
        <w:t xml:space="preserve">claim independently of whether our particular scalar is</w:t>
      </w:r>
      <w:r>
        <w:t xml:space="preserve"> </w:t>
      </w:r>
      <w:r>
        <w:t xml:space="preserve">right, and it caps any transfer test. The gate should say explicitly whether the</w:t>
      </w:r>
      <w:r>
        <w:t xml:space="preserve"> </w:t>
      </w:r>
      <w:r>
        <w:t xml:space="preserve">project’s headline becomes this, if task 1 goes against the field.</w:t>
      </w:r>
    </w:p>
    <w:p>
      <w:pPr>
        <w:pStyle w:val="BodyText"/>
      </w:pPr>
      <w:r>
        <w:rPr>
          <w:b/>
          <w:bCs/>
        </w:rPr>
        <w:t xml:space="preserve">5. Narrow or confirm the A.3 wording.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on looming or TTC, not a comfort deficit, and list</w:t>
      </w:r>
      <w:r>
        <w:t xml:space="preserve"> </w:t>
      </w:r>
      <w:r>
        <w:t xml:space="preserve">leaky accumulation and collapsing bounds as standard. Our FAIL was pre-registered and</w:t>
      </w:r>
      <w:r>
        <w:t xml:space="preserve"> </w:t>
      </w:r>
      <w:r>
        <w:t xml:space="preserve">stands for the accumulator we specified; decide whether the assessment’s broader claim</w:t>
      </w:r>
      <w:r>
        <w:t xml:space="preserve"> </w:t>
      </w:r>
      <w:r>
        <w:t xml:space="preserve">needs narrowing.</w:t>
      </w:r>
    </w:p>
    <w:p>
      <w:pPr>
        <w:pStyle w:val="BodyText"/>
      </w:pPr>
      <w:r>
        <w:rPr>
          <w:b/>
          <w:bCs/>
        </w:rPr>
        <w:t xml:space="preserve">A caution for whoever runs this.</w:t>
      </w:r>
      <w:r>
        <w:t xml:space="preserve"> </w:t>
      </w:r>
      <w:r>
        <w:t xml:space="preserve">The sign derivation below was attempted on</w:t>
      </w:r>
      <w:r>
        <w:t xml:space="preserve"> </w:t>
      </w:r>
      <w:r>
        <w:t xml:space="preserve">2026-08-28 and produced a problem: the expectation route gives the right direction for</w:t>
      </w:r>
      <w:r>
        <w:t xml:space="preserve"> </w:t>
      </w:r>
      <w:r>
        <w:t xml:space="preserve">the lateral term but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one for the distance effect (a more distant conflict</w:t>
      </w:r>
      <w:r>
        <w:t xml:space="preserve"> </w:t>
      </w:r>
      <w:r>
        <w:t xml:space="preserve">would get a higher expected deficit, i.e. more discomfort at larger gaps, opposite to</w:t>
      </w:r>
      <w:r>
        <w:t xml:space="preserve"> </w:t>
      </w:r>
      <w:r>
        <w:t xml:space="preserve">what is observed). So the two findings do not have one fix, and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carries a dated correction saying so. Do not</w:t>
      </w:r>
      <w:r>
        <w:t xml:space="preserve"> </w:t>
      </w:r>
      <w:r>
        <w:t xml:space="preserve">re-adopt the unified story without redoing that derivation.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Start w:id="15" w:name="Xaf44b901c00165646984e5e08d5f0ad1589de7a"/>
    <w:p>
      <w:pPr>
        <w:pStyle w:val="Heading3"/>
      </w:pPr>
      <w:r>
        <w:t xml:space="preserve">Card B.2.v2 — the second cut-in study, and the pre-onset defect it exposed</w:t>
      </w:r>
    </w:p>
    <w:p>
      <w:pPr>
        <w:pStyle w:val="FirstParagraph"/>
      </w:pPr>
      <w:r>
        <w:rPr>
          <w:i/>
          <w:iCs/>
        </w:rPr>
        <w:t xml:space="preserve">(Added 2026-08-28. The first item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blocker on the interpretation of every fit run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so far</w:t>
      </w:r>
      <w:r>
        <w:rPr>
          <w:i/>
          <w:iCs/>
        </w:rPr>
        <w:t xml:space="preserve"> </w:t>
      </w:r>
      <w:r>
        <w:rPr>
          <w:i/>
          <w:iCs/>
        </w:rPr>
        <w:t xml:space="preserve">and should be taken before A.2.v2; the second promotes a dataset.)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C1 defect (query B2.Q1).</w:t>
      </w:r>
      <w:r>
        <w:t xml:space="preserve"> </w:t>
      </w:r>
      <w:r>
        <w:t xml:space="preserve">The project treats the C1 cells as carrying no</w:t>
      </w:r>
      <w:r>
        <w:t xml:space="preserve"> </w:t>
      </w:r>
      <w:r>
        <w:t xml:space="preserve">boundary information. That is false: at C1 the three cut-in conditions differ by a</w:t>
      </w:r>
      <w:r>
        <w:t xml:space="preserve"> </w:t>
      </w:r>
      <w:r>
        <w:t xml:space="preserve">factor of two in car-following state (gap 10.5 / 16.0 / 21.5 m, THW 0.34 / 0.52 /</w:t>
      </w:r>
      <w:r>
        <w:t xml:space="preserve"> </w:t>
      </w:r>
      <w:r>
        <w:t xml:space="preserve">0.70 s) and the behaviour is ordered accordingly (0.122 / 0.070 / 0.052), while the</w:t>
      </w:r>
      <w:r>
        <w:t xml:space="preserve"> </w:t>
      </w:r>
      <w:r>
        <w:t xml:space="preserve">field ranks them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(deficit 1 / 1509 / 2907). Evidence:</w:t>
      </w:r>
      <w:r>
        <w:t xml:space="preserve"> </w:t>
      </w:r>
      <w:r>
        <w:rPr>
          <w:rStyle w:val="VerbatimChar"/>
        </w:rPr>
        <w:t xml:space="preserve">replication/czb/out/response_style_and_anticipation.md</w:t>
      </w:r>
      <w:r>
        <w:t xml:space="preserve"> </w:t>
      </w:r>
      <w:r>
        <w:t xml:space="preserve">§Test C. Diagnose the</w:t>
      </w:r>
      <w:r>
        <w:t xml:space="preserve"> </w:t>
      </w:r>
      <w:r>
        <w:t xml:space="preserve">inversion — the lane gate is the obvious suspect, since the lead is fully in the</w:t>
      </w:r>
      <w:r>
        <w:t xml:space="preserve"> </w:t>
      </w:r>
      <w:r>
        <w:t xml:space="preserve">adjacent lane at C1 — then decide whether C1 joins the boundary fit with a corrected</w:t>
      </w:r>
      <w:r>
        <w:t xml:space="preserve"> </w:t>
      </w:r>
      <w:r>
        <w:t xml:space="preserve">covariate or is excluded and the lapse identified elsewhere.</w:t>
      </w:r>
      <w:r>
        <w:t xml:space="preserve"> </w:t>
      </w:r>
      <w:r>
        <w:rPr>
          <w:b/>
          <w:bCs/>
        </w:rPr>
        <w:t xml:space="preserve">Until this is settled</w:t>
      </w:r>
      <w:r>
        <w:rPr>
          <w:b/>
          <w:bCs/>
        </w:rPr>
        <w:t xml:space="preserve"> </w:t>
      </w:r>
      <w:r>
        <w:rPr>
          <w:b/>
          <w:bCs/>
        </w:rPr>
        <w:t xml:space="preserve">the fitted lapse must not be described as a response floor</w:t>
      </w:r>
      <w:r>
        <w:t xml:space="preserve">, because it is absorbing</w:t>
      </w:r>
      <w:r>
        <w:t xml:space="preserve"> </w:t>
      </w:r>
      <w:r>
        <w:t xml:space="preserve">real boundary signal, and that is a fifth explanation for the R.1.Q2 correlation that</w:t>
      </w:r>
      <w:r>
        <w:t xml:space="preserve"> </w:t>
      </w:r>
      <w:r>
        <w:t xml:space="preserve">no earlier analysis considered.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Promote the second cut-in study (query B2.Q2).</w:t>
      </w:r>
      <w:r>
        <w:t xml:space="preserve"> </w:t>
      </w:r>
      <w:r>
        <w:rPr>
          <w:rStyle w:val="VerbatimChar"/>
        </w:rPr>
        <w:t xml:space="preserve">02_Cut-in</w:t>
      </w:r>
      <w:r>
        <w:t xml:space="preserve">: 10 944 trials, 168</w:t>
      </w:r>
      <w:r>
        <w:t xml:space="preserve"> </w:t>
      </w:r>
      <w:r>
        <w:t xml:space="preserve">participants, same three response variables including the ordered braking question.</w:t>
      </w:r>
      <w:r>
        <w:t xml:space="preserve"> </w:t>
      </w:r>
      <w:r>
        <w:t xml:space="preserve">Its delta-velocity factor multiplies with TTC into distance by construction, so</w:t>
      </w:r>
      <w:r>
        <w:t xml:space="preserve"> </w:t>
      </w:r>
      <w:r>
        <w:t xml:space="preserve">matched-TTC cells span 1.6–78 m of gap. Measured in</w:t>
      </w:r>
      <w:r>
        <w:t xml:space="preserve"> </w:t>
      </w:r>
      <w:r>
        <w:rPr>
          <w:rStyle w:val="VerbatimChar"/>
        </w:rPr>
        <w:t xml:space="preserve">out/cutin2_scope.md</w:t>
      </w:r>
      <w:r>
        <w:t xml:space="preserve">: all 24</w:t>
      </w:r>
      <w:r>
        <w:t xml:space="preserve"> </w:t>
      </w:r>
      <w:r>
        <w:t xml:space="preserve">matched-TTC rows run negative, gap orders the cells at rho −0.887 against</w:t>
      </w:r>
      <w:r>
        <w:t xml:space="preserve"> </w:t>
      </w:r>
      <w:r>
        <w:t xml:space="preserve">time-to-collision’s −0.807, and required deceleration manages only +0.238. This is the</w:t>
      </w:r>
      <w:r>
        <w:t xml:space="preserve"> </w:t>
      </w:r>
      <w:r>
        <w:t xml:space="preserve">R.2 distance-versus-time question answered far more sharply than LTAP can answer it,</w:t>
      </w:r>
      <w:r>
        <w:t xml:space="preserve"> </w:t>
      </w:r>
      <w:r>
        <w:t xml:space="preserve">in the scenario whose field already exists. Use it as R.2’s primary venue; keep the</w:t>
      </w:r>
      <w:r>
        <w:t xml:space="preserve"> </w:t>
      </w:r>
      <w:r>
        <w:t xml:space="preserve">LTAP field for the transfer test but off the critical path.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 constraint (query B2.Q3)</w:t>
      </w:r>
      <w:r>
        <w:t xml:space="preserve">: TTC 5/6/7 are between-subjects and the DV and</w:t>
      </w:r>
      <w:r>
        <w:t xml:space="preserve"> </w:t>
      </w:r>
      <w:r>
        <w:t xml:space="preserve">CP subsets are split-half, so participant means must be formed before aggregating.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Exposure effect</w:t>
      </w:r>
      <w:r>
        <w:t xml:space="preserve">: the same study shows P(intervene) rising from 0.547 to 0.575</w:t>
      </w:r>
      <w:r>
        <w:t xml:space="preserve"> </w:t>
      </w:r>
      <w:r>
        <w:t xml:space="preserve">between the first and second showing of an identical clip (3 456 pairs, SE 0.007) —</w:t>
      </w:r>
      <w:r>
        <w:t xml:space="preserve"> </w:t>
      </w:r>
      <w:r>
        <w:t xml:space="preserve">the direct test of R.1.Q3’s mechanism that study 1 cannot support, and it comes out in</w:t>
      </w:r>
      <w:r>
        <w:t xml:space="preserve"> </w:t>
      </w:r>
      <w:r>
        <w:t xml:space="preserve">the direction R.1.Q3 predicts.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proposed</w:t>
      </w:r>
      <w:r>
        <w:t xml:space="preserve">:</w:t>
      </w:r>
      <w:r>
        <w:t xml:space="preserve"> </w:t>
      </w:r>
      <w:r>
        <w:rPr>
          <w:rStyle w:val="VerbatimChar"/>
        </w:rPr>
        <w:t xml:space="preserve">03_CAMP</w:t>
      </w:r>
      <w:r>
        <w:t xml:space="preserve">, per Jonas.</w:t>
      </w:r>
    </w:p>
    <w:bookmarkEnd w:id="15"/>
    <w:bookmarkStart w:id="16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6"/>
    <w:bookmarkStart w:id="17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</w:t>
      </w:r>
      <w:r>
        <w:t xml:space="preserve"> </w:t>
      </w:r>
      <w:r>
        <w:rPr>
          <w:i/>
          <w:iCs/>
        </w:rPr>
        <w:t xml:space="preserve">oncoming-vehicle</w:t>
      </w:r>
      <w:r>
        <w:t xml:space="preserve"> </w:t>
      </w:r>
      <w:r>
        <w:t xml:space="preserve">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 The</w:t>
      </w:r>
      <w:r>
        <w:t xml:space="preserve"> </w:t>
      </w:r>
      <w:r>
        <w:t xml:space="preserve">speed manipulated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vehicle’s (checked in the traces); the ego holds</w:t>
      </w:r>
      <w:r>
        <w:t xml:space="preserve"> </w:t>
      </w:r>
      <w:r>
        <w:t xml:space="preserve">13.9 m/s in both, so PET and the ego’s own kinematics are matched and the effect is</w:t>
      </w:r>
      <w:r>
        <w:t xml:space="preserve"> </w:t>
      </w:r>
      <w:r>
        <w:t xml:space="preserve">carried entirely by distance at matched time.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7"/>
    <w:bookmarkStart w:id="18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8"/>
    <w:bookmarkStart w:id="19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9"/>
    <w:bookmarkStart w:id="20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20"/>
    <w:bookmarkStart w:id="21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21"/>
    <w:bookmarkStart w:id="22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2"/>
    <w:bookmarkStart w:id="23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8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8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3"/>
    <w:bookmarkStart w:id="24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4"/>
    <w:bookmarkStart w:id="25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20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5"/>
    <w:bookmarkStart w:id="26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6"/>
    <w:bookmarkEnd w:id="27"/>
    <w:bookmarkStart w:id="28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2026-08-28T21:37:51Z</dcterms:created>
  <dcterms:modified xsi:type="dcterms:W3CDTF">2026-08-28T21:37:51Z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