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6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357732f00f248ce021222e1a964fa64480e69c3"/>
    <w:p>
      <w:pPr>
        <w:pStyle w:val="Heading1"/>
      </w:pPr>
      <w:r>
        <w:t xml:space="preserve">Crash causation with an active-inference response process: method and results</w:t>
      </w:r>
    </w:p>
    <w:p>
      <w:pPr>
        <w:pStyle w:val="FirstParagraph"/>
      </w:pPr>
      <w:r>
        <w:t xml:space="preserve">Results document, 2026-08-24 (revised the same day after the counterfactual and</w:t>
      </w:r>
      <w:r>
        <w:t xml:space="preserve"> </w:t>
      </w:r>
      <w:r>
        <w:t xml:space="preserve">glance-placement decisions; the first version’s numbers are superseded but reproducible</w:t>
      </w:r>
      <w:r>
        <w:t xml:space="preserve"> </w:t>
      </w:r>
      <w:r>
        <w:t xml:space="preserve">from the tagged outputs). Prepared by Claude at the request of Jonas Bärgman. Markdown is</w:t>
      </w:r>
      <w:r>
        <w:t xml:space="preserve"> </w:t>
      </w:r>
      <w:r>
        <w:t xml:space="preserve">the source; Word and PDF are generated from it. The design, the reading notes on the</w:t>
      </w:r>
      <w:r>
        <w:t xml:space="preserve"> </w:t>
      </w:r>
      <w:r>
        <w:t xml:space="preserve">source papers, and the protocol live in</w:t>
      </w:r>
      <w:r>
        <w:t xml:space="preserve"> </w:t>
      </w:r>
      <w:r>
        <w:rPr>
          <w:rStyle w:val="VerbatimChar"/>
        </w:rPr>
        <w:t xml:space="preserve">docs/crash_causation_plan.md</w:t>
      </w:r>
      <w:r>
        <w:t xml:space="preserve">. Provenance tags:</w:t>
      </w:r>
      <w:r>
        <w:t xml:space="preserve"> </w:t>
      </w:r>
      <w:r>
        <w:t xml:space="preserve">[B24] Bärgman, Svärd, Lundell &amp; Hartelius (2024), [W25a] Wu et al. (2025, scenario</w:t>
      </w:r>
      <w:r>
        <w:t xml:space="preserve"> </w:t>
      </w:r>
      <w:r>
        <w:t xml:space="preserve">generation), [W26] Wu et al. (2026, practical validation), [Code] the Schumann et al.</w:t>
      </w:r>
      <w:r>
        <w:t xml:space="preserve"> </w:t>
      </w:r>
      <w:r>
        <w:t xml:space="preserve">released code, [OSF] their deposit, [Repo] this repository, [Opinion] a judgment.</w:t>
      </w:r>
    </w:p>
    <w:p>
      <w:r>
        <w:pict>
          <v:rect style="width:0;height:1.5pt" o:hralign="center" o:hrstd="t" o:hr="t"/>
        </w:pict>
      </w:r>
    </w:p>
    <w:bookmarkStart w:id="9" w:name="the-method-in-one-page"/>
    <w:p>
      <w:pPr>
        <w:pStyle w:val="Heading2"/>
      </w:pPr>
      <w:r>
        <w:t xml:space="preserve">1 The method in one page</w:t>
      </w:r>
    </w:p>
    <w:p>
      <w:pPr>
        <w:pStyle w:val="FirstParagraph"/>
      </w:pPr>
      <w:r>
        <w:t xml:space="preserve">The question: can the active-inference driver model serve as the</w:t>
      </w:r>
      <w:r>
        <w:t xml:space="preserve"> </w:t>
      </w:r>
      <w:r>
        <w:rPr>
          <w:i/>
          <w:iCs/>
        </w:rPr>
        <w:t xml:space="preserve">response process</w:t>
      </w:r>
      <w:r>
        <w:t xml:space="preserve"> </w:t>
      </w:r>
      <w:r>
        <w:t xml:space="preserve">inside a crash-causation model — and what does it add or cost relative to the fixed-delay</w:t>
      </w:r>
      <w:r>
        <w:t xml:space="preserve"> </w:t>
      </w:r>
      <w:r>
        <w:t xml:space="preserve">response of the crash-causation model (CBM) of [B24]?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Seeds.</w:t>
      </w:r>
      <w:r>
        <w:t xml:space="preserve"> </w:t>
      </w:r>
      <w:r>
        <w:t xml:space="preserve">100 rear-end pre-crash scenarios sampled weight-proportionally (stratified</w:t>
      </w:r>
      <w:r>
        <w:t xml:space="preserve"> </w:t>
      </w:r>
      <w:r>
        <w:t xml:space="preserve">by initial speed) from the 5 000 synthetic QUADRIS scenarios of [W25a]; every seed</w:t>
      </w:r>
      <w:r>
        <w:t xml:space="preserve"> </w:t>
      </w:r>
      <w:r>
        <w:t xml:space="preserve">carries its real-world weight ω.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counterfactual.</w:t>
      </w:r>
      <w:r>
        <w:t xml:space="preserve"> </w:t>
      </w:r>
      <w:r>
        <w:t xml:space="preserve">Before the modeled response, the follower runs the seed’s</w:t>
      </w:r>
      <w:r>
        <w:t xml:space="preserve"> </w:t>
      </w:r>
      <w:r>
        <w:t xml:space="preserve">original speed profile</w:t>
      </w:r>
      <w:r>
        <w:t xml:space="preserve"> </w:t>
      </w:r>
      <w:r>
        <w:rPr>
          <w:b/>
          <w:bCs/>
        </w:rPr>
        <w:t xml:space="preserve">with its braking removed from the lead’s braking onset onward</w:t>
      </w:r>
      <w:r>
        <w:t xml:space="preserve"> </w:t>
      </w:r>
      <w:r>
        <w:t xml:space="preserve">(acceleration clamped at ≥ 0). This keeps the accelerating creeping/queue seeds intact</w:t>
      </w:r>
      <w:r>
        <w:t xml:space="preserve"> </w:t>
      </w:r>
      <w:r>
        <w:t xml:space="preserve">while excluding the generator-follower’s own evasive action, which the plain</w:t>
      </w:r>
      <w:r>
        <w:t xml:space="preserve"> </w:t>
      </w:r>
      <w:r>
        <w:t xml:space="preserve">“original”</w:t>
      </w:r>
      <w:r>
        <w:t xml:space="preserve"> </w:t>
      </w:r>
      <w:r>
        <w:t xml:space="preserve">profile embeds in 14 of 100 seeds. Clamping from t = 0 instead changes headline results</w:t>
      </w:r>
      <w:r>
        <w:t xml:space="preserve"> </w:t>
      </w:r>
      <w:r>
        <w:t xml:space="preserve">by only a few percent (section 4.5), so the rule choice is not consequential.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Causation components</w:t>
      </w:r>
      <w:r>
        <w:t xml:space="preserve">, each switchable: off-road glances, too-close following</w:t>
      </w:r>
      <w:r>
        <w:t xml:space="preserve"> </w:t>
      </w:r>
      <w:r>
        <w:t xml:space="preserve">(inherent in the seed), a maximum-deceleration cap, a no-response mixture (10% of</w:t>
      </w:r>
      <w:r>
        <w:t xml:space="preserve"> </w:t>
      </w:r>
      <w:r>
        <w:t xml:space="preserve">crashes [B24]), and — added at the study’s request — the</w:t>
      </w:r>
      <w:r>
        <w:t xml:space="preserve"> </w:t>
      </w:r>
      <w:r>
        <w:rPr>
          <w:b/>
          <w:bCs/>
        </w:rPr>
        <w:t xml:space="preserve">abnormal-acceleration</w:t>
      </w:r>
      <w:r>
        <w:rPr>
          <w:b/>
          <w:bCs/>
        </w:rPr>
        <w:t xml:space="preserve"> </w:t>
      </w:r>
      <w:r>
        <w:rPr>
          <w:b/>
          <w:bCs/>
        </w:rPr>
        <w:t xml:space="preserve">follower</w:t>
      </w:r>
      <w:r>
        <w:t xml:space="preserve"> </w:t>
      </w:r>
      <w:r>
        <w:t xml:space="preserve">of [W25a]: 9.2% of crashes, the follower ignoring the lead at a constant</w:t>
      </w:r>
      <w:r>
        <w:t xml:space="preserve"> </w:t>
      </w:r>
      <w:r>
        <w:t xml:space="preserve">+1.8 m/s² (their fitted mean; their onset-time distribution is unpublished, so the</w:t>
      </w:r>
      <w:r>
        <w:t xml:space="preserve"> </w:t>
      </w:r>
      <w:r>
        <w:t xml:space="preserve">acceleration is applied from the lead’s braking onset).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Input distributions</w:t>
      </w:r>
      <w:r>
        <w:t xml:space="preserve"> </w:t>
      </w:r>
      <w:r>
        <w:t xml:space="preserve">digitized from [B24]’s published figures</w:t>
      </w:r>
      <w:r>
        <w:t xml:space="preserve"> </w:t>
      </w:r>
      <w:r>
        <w:t xml:space="preserve">(</w:t>
      </w:r>
      <w:r>
        <w:rPr>
          <w:rStyle w:val="VerbatimChar"/>
        </w:rPr>
        <w:t xml:space="preserve">replication/causation/digitize_b24.py</w:t>
      </w:r>
      <w:r>
        <w:t xml:space="preserve">): the SHRP2 off-road glance distribution</w:t>
      </w:r>
      <w:r>
        <w:t xml:space="preserve"> </w:t>
      </w:r>
      <w:r>
        <w:t xml:space="preserve">(vector-exact; two independent axis calibrations agree within 0.9%; on-road point mass</w:t>
      </w:r>
      <w:r>
        <w:t xml:space="preserve"> </w:t>
      </w:r>
      <w:r>
        <w:t xml:space="preserve">0.80) and the 45-crash maximum-deceleration histogram (integer counts summing to</w:t>
      </w:r>
      <w:r>
        <w:t xml:space="preserve"> </w:t>
      </w:r>
      <w:r>
        <w:t xml:space="preserve">exactly 45).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Glance placement.</w:t>
      </w:r>
      <w:r>
        <w:t xml:space="preserve"> </w:t>
      </w:r>
      <w:r>
        <w:t xml:space="preserve">Primary: the</w:t>
      </w:r>
      <w:r>
        <w:t xml:space="preserve"> </w:t>
      </w:r>
      <w:r>
        <w:rPr>
          <w:b/>
          <w:bCs/>
        </w:rPr>
        <w:t xml:space="preserve">renewal process</w:t>
      </w:r>
      <w:r>
        <w:t xml:space="preserve"> </w:t>
      </w:r>
      <w:r>
        <w:t xml:space="preserve">— on/off glance sequences over</w:t>
      </w:r>
      <w:r>
        <w:t xml:space="preserve"> </w:t>
      </w:r>
      <w:r>
        <w:t xml:space="preserve">the whole scenario, off-road durations from the digitized distribution, on-road dwells</w:t>
      </w:r>
      <w:r>
        <w:t xml:space="preserve"> </w:t>
      </w:r>
      <w:r>
        <w:t xml:space="preserve">exponential with the mean set by the 80% on-road share, 50 Monte Carlo draws per seed</w:t>
      </w:r>
      <w:r>
        <w:t xml:space="preserve"> </w:t>
      </w:r>
      <w:r>
        <w:t xml:space="preserve">(flagged for a later increase). The [B24] anchored-overshot construction is kept as the</w:t>
      </w:r>
      <w:r>
        <w:t xml:space="preserve"> </w:t>
      </w:r>
      <w:r>
        <w:t xml:space="preserve">CBM-native comparison case; section 4.6 quantifies what the process placement buys.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Two response processes</w:t>
      </w:r>
      <w:r>
        <w:t xml:space="preserve"> </w:t>
      </w:r>
      <w:r>
        <w:t xml:space="preserve">behind one interface: the CBM’s (respond 0.5 s after eyes</w:t>
      </w:r>
      <w:r>
        <w:t xml:space="preserve"> </w:t>
      </w:r>
      <w:r>
        <w:t xml:space="preserve">return; ramp to the drawn deceleration) and the tier-1 active-inference surrogate (the</w:t>
      </w:r>
      <w:r>
        <w:t xml:space="preserve"> </w:t>
      </w:r>
      <w:r>
        <w:t xml:space="preserve">model’s preference function on the seed kinematics, fed through its evidence</w:t>
      </w:r>
      <w:r>
        <w:t xml:space="preserve"> </w:t>
      </w:r>
      <w:r>
        <w:t xml:space="preserve">accumulator, drift rate calibrated on the authors’ 896 deposited trials [Repo]).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Conditions.</w:t>
      </w:r>
      <w:r>
        <w:t xml:space="preserve"> </w:t>
      </w:r>
      <w:r>
        <w:t xml:space="preserve">A: attentive active inference (benchmark). B: active inference + all</w:t>
      </w:r>
      <w:r>
        <w:t xml:space="preserve"> </w:t>
      </w:r>
      <w:r>
        <w:t xml:space="preserve">components. C: CBM response + all components (the control). D: active inference +</w:t>
      </w:r>
      <w:r>
        <w:t xml:space="preserve"> </w:t>
      </w:r>
      <w:r>
        <w:t xml:space="preserve">glances only.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Comparison</w:t>
      </w:r>
      <w:r>
        <w:t xml:space="preserve"> </w:t>
      </w:r>
      <w:r>
        <w:t xml:space="preserve">against the full 5 000-scenario reference with the [W26] equivalence</w:t>
      </w:r>
      <w:r>
        <w:t xml:space="preserve"> </w:t>
      </w:r>
      <w:r>
        <w:t xml:space="preserve">framework (θ/Θ, ROPEs 0.10/0.05, bootstrap HDIs), crashes weighted by Eq. 10, plus the</w:t>
      </w:r>
      <w:r>
        <w:t xml:space="preserve"> </w:t>
      </w:r>
      <w:r>
        <w:t xml:space="preserve">exposure-weight variant (plan §6b). Metrics: P_inj,</w:t>
      </w:r>
      <w:r>
        <w:t xml:space="preserve"> </w:t>
      </w:r>
      <w:r>
        <w:rPr>
          <w:b/>
          <w:bCs/>
        </w:rPr>
        <w:t xml:space="preserve">relative speed at impact</w:t>
      </w:r>
      <w:r>
        <w:t xml:space="preserve"> </w:t>
      </w:r>
      <w:r>
        <w:t xml:space="preserve">(the</w:t>
      </w:r>
      <w:r>
        <w:t xml:space="preserve"> </w:t>
      </w:r>
      <w:r>
        <w:t xml:space="preserve">assumption-free severity primitive; the deposit’s delta-v was derived from it under</w:t>
      </w:r>
      <w:r>
        <w:t xml:space="preserve"> </w:t>
      </w:r>
      <w:r>
        <w:t xml:space="preserve">equal masses), t_nr, and the follower’s minimum acceleration.</w:t>
      </w:r>
    </w:p>
    <w:bookmarkEnd w:id="9"/>
    <w:bookmarkStart w:id="13" w:name="input-distributions"/>
    <w:p>
      <w:pPr>
        <w:pStyle w:val="Heading2"/>
      </w:pPr>
      <w:r>
        <w:t xml:space="preserve">2 Input distributions</w:t>
      </w:r>
    </w:p>
    <w:p>
      <w:pPr>
        <w:pStyle w:val="CaptionedFigure"/>
      </w:pPr>
      <w:r>
        <w:drawing>
          <wp:inline>
            <wp:extent cx="5334000" cy="1946189"/>
            <wp:effectExtent b="0" l="0" r="0" t="0"/>
            <wp:docPr descr="Digitized input distributions against the earlier stand-ins" title="" id="11" name="Picture"/>
            <a:graphic>
              <a:graphicData uri="http://schemas.openxmlformats.org/drawingml/2006/picture">
                <pic:pic>
                  <pic:nvPicPr>
                    <pic:cNvPr descr="causation_figures/fig_inputs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61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Digitized input distributions against the earlier stand-ins</w:t>
      </w:r>
    </w:p>
    <w:p>
      <w:pPr>
        <w:pStyle w:val="BodyText"/>
      </w:pPr>
      <w:r>
        <w:t xml:space="preserve">The digitized glance distribution is close to the earlier lognormal stand-in (mode ~0.2 s</w:t>
      </w:r>
      <w:r>
        <w:t xml:space="preserve"> </w:t>
      </w:r>
      <w:r>
        <w:t xml:space="preserve">later); the deceleration distribution is not — the real one has 24% of its mass at</w:t>
      </w:r>
      <w:r>
        <w:t xml:space="preserve"> </w:t>
      </w:r>
      <w:r>
        <w:t xml:space="preserve">7.5 m/s² and harder, where the stand-in had almost none. All results below use the</w:t>
      </w:r>
      <w:r>
        <w:t xml:space="preserve"> </w:t>
      </w:r>
      <w:r>
        <w:t xml:space="preserve">digitized distributions.</w:t>
      </w:r>
    </w:p>
    <w:bookmarkEnd w:id="13"/>
    <w:bookmarkStart w:id="14" w:name="crash-generation"/>
    <w:p>
      <w:pPr>
        <w:pStyle w:val="Heading2"/>
      </w:pPr>
      <w:r>
        <w:t xml:space="preserve">3 Crash generation</w:t>
      </w:r>
    </w:p>
    <w:p>
      <w:pPr>
        <w:pStyle w:val="FirstParagraph"/>
      </w:pPr>
      <w:r>
        <w:rPr>
          <w:b/>
          <w:bCs/>
        </w:rPr>
        <w:t xml:space="preserve">Full population (all 5 000 seeds, 2026-08-25).</w:t>
      </w:r>
      <w:r>
        <w:t xml:space="preserve"> </w:t>
      </w:r>
      <w:r>
        <w:t xml:space="preserve">With the no-brake counterfactual,</w:t>
      </w:r>
      <w:r>
        <w:t xml:space="preserve"> </w:t>
      </w:r>
      <w:r>
        <w:t xml:space="preserve">process glances for the active-inference conditions, anchored glances for the CBM</w:t>
      </w:r>
      <w:r>
        <w:t xml:space="preserve"> </w:t>
      </w:r>
      <w:r>
        <w:t xml:space="preserve">control, and 10 process draws per seed: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components</w:t>
            </w:r>
          </w:p>
        </w:tc>
        <w:tc>
          <w:tcPr/>
          <w:p>
            <w:pPr>
              <w:pStyle w:val="Compact"/>
            </w:pPr>
            <w:r>
              <w:t xml:space="preserve">seeds crashing (any draw)</w:t>
            </w:r>
          </w:p>
        </w:tc>
        <w:tc>
          <w:tcPr/>
          <w:p>
            <w:pPr>
              <w:pStyle w:val="Compact"/>
            </w:pPr>
            <w:r>
              <w:t xml:space="preserve">weighted crash probability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active inference</w:t>
            </w:r>
          </w:p>
        </w:tc>
        <w:tc>
          <w:tcPr/>
          <w:p>
            <w:pPr>
              <w:pStyle w:val="Compact"/>
            </w:pPr>
            <w:r>
              <w:t xml:space="preserve">decel. cap</w:t>
            </w:r>
          </w:p>
        </w:tc>
        <w:tc>
          <w:tcPr/>
          <w:p>
            <w:pPr>
              <w:pStyle w:val="Compact"/>
            </w:pPr>
            <w:r>
              <w:t xml:space="preserve">1 635/5 000</w:t>
            </w:r>
          </w:p>
        </w:tc>
        <w:tc>
          <w:tcPr/>
          <w:p>
            <w:pPr>
              <w:pStyle w:val="Compact"/>
            </w:pPr>
            <w:r>
              <w:t xml:space="preserve">0.156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active inference</w:t>
            </w:r>
          </w:p>
        </w:tc>
        <w:tc>
          <w:tcPr/>
          <w:p>
            <w:pPr>
              <w:pStyle w:val="Compact"/>
            </w:pPr>
            <w:r>
              <w:t xml:space="preserve">glances, decel. cap, no-response</w:t>
            </w:r>
          </w:p>
        </w:tc>
        <w:tc>
          <w:tcPr/>
          <w:p>
            <w:pPr>
              <w:pStyle w:val="Compact"/>
            </w:pPr>
            <w:r>
              <w:t xml:space="preserve">3 854/5 000</w:t>
            </w:r>
          </w:p>
        </w:tc>
        <w:tc>
          <w:tcPr/>
          <w:p>
            <w:pPr>
              <w:pStyle w:val="Compact"/>
            </w:pPr>
            <w:r>
              <w:t xml:space="preserve">0.280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CBM (control)</w:t>
            </w:r>
          </w:p>
        </w:tc>
        <w:tc>
          <w:tcPr/>
          <w:p>
            <w:pPr>
              <w:pStyle w:val="Compact"/>
            </w:pPr>
            <w:r>
              <w:t xml:space="preserve">glances, decel. cap, no-response</w:t>
            </w:r>
          </w:p>
        </w:tc>
        <w:tc>
          <w:tcPr/>
          <w:p>
            <w:pPr>
              <w:pStyle w:val="Compact"/>
            </w:pPr>
            <w:r>
              <w:t xml:space="preserve">4 705/5 000</w:t>
            </w:r>
          </w:p>
        </w:tc>
        <w:tc>
          <w:tcPr/>
          <w:p>
            <w:pPr>
              <w:pStyle w:val="Compact"/>
            </w:pPr>
            <w:r>
              <w:t xml:space="preserve">0.059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active inference</w:t>
            </w:r>
          </w:p>
        </w:tc>
        <w:tc>
          <w:tcPr/>
          <w:p>
            <w:pPr>
              <w:pStyle w:val="Compact"/>
            </w:pPr>
            <w:r>
              <w:t xml:space="preserve">glances, decel. cap</w:t>
            </w:r>
          </w:p>
        </w:tc>
        <w:tc>
          <w:tcPr/>
          <w:p>
            <w:pPr>
              <w:pStyle w:val="Compact"/>
            </w:pPr>
            <w:r>
              <w:t xml:space="preserve">3 854/5 000</w:t>
            </w:r>
          </w:p>
        </w:tc>
        <w:tc>
          <w:tcPr/>
          <w:p>
            <w:pPr>
              <w:pStyle w:val="Compact"/>
            </w:pPr>
            <w:r>
              <w:t xml:space="preserve">0.280</w:t>
            </w:r>
          </w:p>
        </w:tc>
      </w:tr>
    </w:tbl>
    <w:p>
      <w:pPr>
        <w:pStyle w:val="BodyText"/>
      </w:pPr>
      <w:r>
        <w:t xml:space="preserve">(The earlier 100-seed tables’</w:t>
      </w:r>
      <w:r>
        <w:t xml:space="preserve"> </w:t>
      </w:r>
      <w:r>
        <w:t xml:space="preserve">“weighted crash prob”</w:t>
      </w:r>
      <w:r>
        <w:t xml:space="preserve"> </w:t>
      </w:r>
      <w:r>
        <w:t xml:space="preserve">column was normalized against the</w:t>
      </w:r>
      <w:r>
        <w:t xml:space="preserve"> </w:t>
      </w:r>
      <w:r>
        <w:t xml:space="preserve">full reference weight and is therefore a share, not a rate; the population rates above</w:t>
      </w:r>
      <w:r>
        <w:t xml:space="preserve"> </w:t>
      </w:r>
      <w:r>
        <w:t xml:space="preserve">supersede it. Ratios between conditions were and remain comparable.)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 attentive active-inference driver avoids 67% of the QUADRIS crash population</w:t>
      </w:r>
      <w:r>
        <w:t xml:space="preserve"> </w:t>
      </w:r>
      <w:r>
        <w:t xml:space="preserve">(3 365 of 5 000 seeds) across the full deceleration sweep; the rest are the</w:t>
      </w:r>
      <w:r>
        <w:t xml:space="preserve"> </w:t>
      </w:r>
      <w:r>
        <w:t xml:space="preserve">kinematically hard core, concentrated at short headways.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response process drives a factor ~4.7 in crash probability</w:t>
      </w:r>
      <w:r>
        <w:t xml:space="preserve"> </w:t>
      </w:r>
      <w:r>
        <w:t xml:space="preserve">(B 0.280 versus C</w:t>
      </w:r>
      <w:r>
        <w:t xml:space="preserve"> </w:t>
      </w:r>
      <w:r>
        <w:t xml:space="preserve">0.059 with identical components), from timing: the active-inference accumulator’s</w:t>
      </w:r>
      <w:r>
        <w:t xml:space="preserve"> </w:t>
      </w:r>
      <w:r>
        <w:t xml:space="preserve">attentive onsets sit at a median 1.25 s after the τ⁻¹ = 0.2 s⁻¹ anchor (IQR</w:t>
      </w:r>
      <w:r>
        <w:t xml:space="preserve"> </w:t>
      </w:r>
      <w:r>
        <w:t xml:space="preserve">0.50–1.75 s) against the CBM’s fixed 0.50 s (section 5).</w:t>
      </w:r>
    </w:p>
    <w:p>
      <w:pPr>
        <w:pStyle w:val="Compact"/>
        <w:numPr>
          <w:ilvl w:val="0"/>
          <w:numId w:val="1002"/>
        </w:numPr>
      </w:pPr>
      <w:r>
        <w:t xml:space="preserve">The crash rate was initially sensitive to the accumulator’s starting level (zero</w:t>
      </w:r>
      <w:r>
        <w:t xml:space="preserve"> </w:t>
      </w:r>
      <w:r>
        <w:t xml:space="preserve">start 0.023 versus 0.004 with a</w:t>
      </w:r>
      <w:r>
        <w:t xml:space="preserve"> </w:t>
      </w:r>
      <w:r>
        <w:t xml:space="preserve">“stationary”</w:t>
      </w:r>
      <w:r>
        <w:t xml:space="preserve"> </w:t>
      </w:r>
      <w:r>
        <w:t xml:space="preserve">half-threshold start), but the tier-2</w:t>
      </w:r>
      <w:r>
        <w:t xml:space="preserve"> </w:t>
      </w:r>
      <w:r>
        <w:t xml:space="preserve">arbiter run has</w:t>
      </w:r>
      <w:r>
        <w:t xml:space="preserve"> </w:t>
      </w:r>
      <w:r>
        <w:rPr>
          <w:b/>
          <w:bCs/>
        </w:rPr>
        <w:t xml:space="preserve">resolved the convention in favor of the zero start</w:t>
      </w:r>
      <w:r>
        <w:t xml:space="preserve"> </w:t>
      </w:r>
      <w:r>
        <w:t xml:space="preserve">(section 5):</w:t>
      </w:r>
      <w:r>
        <w:t xml:space="preserve"> </w:t>
      </w:r>
      <w:r>
        <w:t xml:space="preserve">the closed-loop model’s own onsets match the zero-start surrogate to a median 0.42 s</w:t>
      </w:r>
      <w:r>
        <w:t xml:space="preserve"> </w:t>
      </w:r>
      <w:r>
        <w:t xml:space="preserve">across 24 seeds and reject the stationary start on 20 of 24. The 0.023 figure stands;</w:t>
      </w:r>
      <w:r>
        <w:t xml:space="preserve"> </w:t>
      </w:r>
      <w:r>
        <w:t xml:space="preserve">the stationary variant remains in the outputs as a tested-and-rejected sensitivity.</w:t>
      </w:r>
    </w:p>
    <w:bookmarkEnd w:id="14"/>
    <w:bookmarkStart w:id="28" w:name="comparison-with-the-original-data"/>
    <w:p>
      <w:pPr>
        <w:pStyle w:val="Heading2"/>
      </w:pPr>
      <w:r>
        <w:t xml:space="preserve">4 Comparison with the original data</w:t>
      </w:r>
    </w:p>
    <w:bookmarkStart w:id="15" w:name="summary-statistics-full-population"/>
    <w:p>
      <w:pPr>
        <w:pStyle w:val="Heading3"/>
      </w:pPr>
      <w:r>
        <w:t xml:space="preserve">4.1 Summary statistics (full population)</w:t>
      </w:r>
    </w:p>
    <w:p>
      <w:pPr>
        <w:pStyle w:val="FirstParagraph"/>
      </w:pPr>
      <w:r>
        <w:t xml:space="preserve">Weighted medians (weighted mean for P_inj); reference weighted by ω, conditions by the</w:t>
      </w:r>
      <w:r>
        <w:t xml:space="preserve"> </w:t>
      </w:r>
      <w:r>
        <w:t xml:space="preserve">Eq. 10 crash weights; all conditions on all 5 000 seeds: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rel. speed at impact [m/s]</w:t>
            </w:r>
          </w:p>
        </w:tc>
        <w:tc>
          <w:tcPr/>
          <w:p>
            <w:pPr>
              <w:pStyle w:val="Compact"/>
            </w:pPr>
            <w:r>
              <w:t xml:space="preserve">mean P_inj</w:t>
            </w:r>
          </w:p>
        </w:tc>
        <w:tc>
          <w:tcPr/>
          <w:p>
            <w:pPr>
              <w:pStyle w:val="Compact"/>
            </w:pPr>
            <w:r>
              <w:t xml:space="preserve">follower a_min [m/s²]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QUADRIS reference (n = 5 000)</w:t>
            </w:r>
          </w:p>
        </w:tc>
        <w:tc>
          <w:tcPr/>
          <w:p>
            <w:pPr>
              <w:pStyle w:val="Compact"/>
            </w:pPr>
            <w:r>
              <w:t xml:space="preserve">3.54</w:t>
            </w:r>
          </w:p>
        </w:tc>
        <w:tc>
          <w:tcPr/>
          <w:p>
            <w:pPr>
              <w:pStyle w:val="Compact"/>
            </w:pPr>
            <w:r>
              <w:t xml:space="preserve">0.0062</w:t>
            </w:r>
          </w:p>
        </w:tc>
        <w:tc>
          <w:tcPr/>
          <w:p>
            <w:pPr>
              <w:pStyle w:val="Compact"/>
            </w:pPr>
            <w:r>
              <w:t xml:space="preserve">−1.03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B: active inference</w:t>
            </w:r>
          </w:p>
        </w:tc>
        <w:tc>
          <w:tcPr/>
          <w:p>
            <w:pPr>
              <w:pStyle w:val="Compact"/>
            </w:pPr>
            <w:r>
              <w:t xml:space="preserve">3.33</w:t>
            </w:r>
          </w:p>
        </w:tc>
        <w:tc>
          <w:tcPr/>
          <w:p>
            <w:pPr>
              <w:pStyle w:val="Compact"/>
            </w:pPr>
            <w:r>
              <w:t xml:space="preserve">0.0052</w:t>
            </w:r>
          </w:p>
        </w:tc>
        <w:tc>
          <w:tcPr/>
          <w:p>
            <w:pPr>
              <w:pStyle w:val="Compact"/>
            </w:pPr>
            <w:r>
              <w:t xml:space="preserve">−3.46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C: CBM control</w:t>
            </w:r>
          </w:p>
        </w:tc>
        <w:tc>
          <w:tcPr/>
          <w:p>
            <w:pPr>
              <w:pStyle w:val="Compact"/>
            </w:pPr>
            <w:r>
              <w:t xml:space="preserve">3.34</w:t>
            </w:r>
          </w:p>
        </w:tc>
        <w:tc>
          <w:tcPr/>
          <w:p>
            <w:pPr>
              <w:pStyle w:val="Compact"/>
            </w:pPr>
            <w:r>
              <w:t xml:space="preserve">0.0050</w:t>
            </w:r>
          </w:p>
        </w:tc>
        <w:tc>
          <w:tcPr/>
          <w:p>
            <w:pPr>
              <w:pStyle w:val="Compact"/>
            </w:pPr>
            <w:r>
              <w:t xml:space="preserve">−3.75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+ abnormal acceleration</w:t>
            </w:r>
          </w:p>
        </w:tc>
        <w:tc>
          <w:tcPr/>
          <w:p>
            <w:pPr>
              <w:pStyle w:val="Compact"/>
            </w:pPr>
            <w:r>
              <w:t xml:space="preserve">3.63</w:t>
            </w:r>
          </w:p>
        </w:tc>
        <w:tc>
          <w:tcPr/>
          <w:p>
            <w:pPr>
              <w:pStyle w:val="Compact"/>
            </w:pPr>
            <w:r>
              <w:t xml:space="preserve">0.0069</w:t>
            </w:r>
          </w:p>
        </w:tc>
        <w:tc>
          <w:tcPr/>
          <w:p>
            <w:pPr>
              <w:pStyle w:val="Compact"/>
            </w:pPr>
            <w:r>
              <w:t xml:space="preserve">−0.05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+ abnormal acceleration</w:t>
            </w:r>
          </w:p>
        </w:tc>
        <w:tc>
          <w:tcPr/>
          <w:p>
            <w:pPr>
              <w:pStyle w:val="Compact"/>
            </w:pPr>
            <w:r>
              <w:t xml:space="preserve">3.63</w:t>
            </w:r>
          </w:p>
        </w:tc>
        <w:tc>
          <w:tcPr/>
          <w:p>
            <w:pPr>
              <w:pStyle w:val="Compact"/>
            </w:pPr>
            <w:r>
              <w:t xml:space="preserve">0.0068</w:t>
            </w:r>
          </w:p>
        </w:tc>
        <w:tc>
          <w:tcPr/>
          <w:p>
            <w:pPr>
              <w:pStyle w:val="Compact"/>
            </w:pPr>
            <w:r>
              <w:t xml:space="preserve">−3.75</w:t>
            </w:r>
          </w:p>
        </w:tc>
      </w:tr>
    </w:tbl>
    <w:p>
      <w:pPr>
        <w:pStyle w:val="BodyText"/>
      </w:pPr>
      <w:r>
        <w:t xml:space="preserve">The 100-seed sample’s over-production of mild crashes (its B median relative impact</w:t>
      </w:r>
      <w:r>
        <w:t xml:space="preserve"> </w:t>
      </w:r>
      <w:r>
        <w:t xml:space="preserve">speed was 1.88 m/s) largely dissolves at full population — it was substantially a</w:t>
      </w:r>
      <w:r>
        <w:t xml:space="preserve"> </w:t>
      </w:r>
      <w:r>
        <w:t xml:space="preserve">property of the weight-proportional sample, which concentrates on the common, benign</w:t>
      </w:r>
      <w:r>
        <w:t xml:space="preserve"> </w:t>
      </w:r>
      <w:r>
        <w:t xml:space="preserve">seeds. Severity medians now sit within 0.2 m/s of the reference for B and C alike, and</w:t>
      </w:r>
      <w:r>
        <w:t xml:space="preserve"> </w:t>
      </w:r>
      <w:r>
        <w:t xml:space="preserve">within 0.1 for the abnormal variants; the abnormal component overshoots the mean injury</w:t>
      </w:r>
      <w:r>
        <w:t xml:space="preserve"> </w:t>
      </w:r>
      <w:r>
        <w:t xml:space="preserve">risk slightly (+11%) where it landed exactly on it in the sample.</w:t>
      </w:r>
    </w:p>
    <w:bookmarkEnd w:id="15"/>
    <w:bookmarkStart w:id="19" w:name="distributions"/>
    <w:p>
      <w:pPr>
        <w:pStyle w:val="Heading3"/>
      </w:pPr>
      <w:r>
        <w:t xml:space="preserve">4.2 Distributions</w:t>
      </w:r>
    </w:p>
    <w:p>
      <w:pPr>
        <w:pStyle w:val="CaptionedFigure"/>
      </w:pPr>
      <w:r>
        <w:drawing>
          <wp:inline>
            <wp:extent cx="5334000" cy="1874108"/>
            <wp:effectExtent b="0" l="0" r="0" t="0"/>
            <wp:docPr descr="Weighted metric distributions: reference vs conditions B and C" title="" id="17" name="Picture"/>
            <a:graphic>
              <a:graphicData uri="http://schemas.openxmlformats.org/drawingml/2006/picture">
                <pic:pic>
                  <pic:nvPicPr>
                    <pic:cNvPr descr="causation_figures/fig_metrics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4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Weighted metric distributions: reference vs conditions B and C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Severity (relative speed at impact).</w:t>
      </w:r>
      <w:r>
        <w:t xml:space="preserve"> </w:t>
      </w:r>
      <w:r>
        <w:t xml:space="preserve">At full population both response models track</w:t>
      </w:r>
      <w:r>
        <w:t xml:space="preserve"> </w:t>
      </w:r>
      <w:r>
        <w:t xml:space="preserve">the reference across the entire severity range — the distributions nearly overlay,</w:t>
      </w:r>
      <w:r>
        <w:t xml:space="preserve"> </w:t>
      </w:r>
      <w:r>
        <w:t xml:space="preserve">with B marginally under-producing the extreme tail and C marginally over-producing the</w:t>
      </w:r>
      <w:r>
        <w:t xml:space="preserve"> </w:t>
      </w:r>
      <w:r>
        <w:t xml:space="preserve">2–6 m/s range. (The figure shows the full-population run.)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Urgency (t_nr).</w:t>
      </w:r>
      <w:r>
        <w:t xml:space="preserve"> </w:t>
      </w:r>
      <w:r>
        <w:t xml:space="preserve">Essentially inherited from the seeds by both models, as before.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Braking (follower minimum acceleration).</w:t>
      </w:r>
      <w:r>
        <w:t xml:space="preserve"> </w:t>
      </w:r>
      <w:r>
        <w:t xml:space="preserve">The remaining structural difference.</w:t>
      </w:r>
      <w:r>
        <w:t xml:space="preserve"> </w:t>
      </w:r>
      <w:r>
        <w:t xml:space="preserve">Condition B reproduces — indeed slightly overshoots — the reference’s dominant</w:t>
      </w:r>
      <w:r>
        <w:t xml:space="preserve"> </w:t>
      </w:r>
      <w:r>
        <w:t xml:space="preserve">non-braking spike (crashes in which a glance or the no-response class covers the</w:t>
      </w:r>
      <w:r>
        <w:t xml:space="preserve"> </w:t>
      </w:r>
      <w:r>
        <w:t xml:space="preserve">conflict); condition C cannot produce it and instead concentrates on its discrete</w:t>
      </w:r>
      <w:r>
        <w:t xml:space="preserve"> </w:t>
      </w:r>
      <w:r>
        <w:t xml:space="preserve">hard-braking values from the deceleration bins. This is the panel that keeps a_f,min</w:t>
      </w:r>
      <w:r>
        <w:t xml:space="preserve"> </w:t>
      </w:r>
      <w:r>
        <w:t xml:space="preserve">from passing for any configuration, and it separates the two response models more</w:t>
      </w:r>
      <w:r>
        <w:t xml:space="preserve"> </w:t>
      </w:r>
      <w:r>
        <w:t xml:space="preserve">clearly than severity does.</w:t>
      </w:r>
    </w:p>
    <w:bookmarkEnd w:id="19"/>
    <w:bookmarkStart w:id="20" w:name="equivalence-at-full-population"/>
    <w:p>
      <w:pPr>
        <w:pStyle w:val="Heading3"/>
      </w:pPr>
      <w:r>
        <w:t xml:space="preserve">4.3 Equivalence at full population</w:t>
      </w:r>
    </w:p>
    <w:p>
      <w:pPr>
        <w:pStyle w:val="FirstParagraph"/>
      </w:pPr>
      <w:r>
        <w:t xml:space="preserve">Headline θ (Eq. 10 weights, 95% bootstrap HDIs), all 5 000 seeds; full tables in</w:t>
      </w:r>
      <w:r>
        <w:t xml:space="preserve"> </w:t>
      </w:r>
      <w:r>
        <w:rPr>
          <w:rStyle w:val="VerbatimChar"/>
        </w:rPr>
        <w:t xml:space="preserve">replication/causation/out/summary_fullp.md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summary_fullp_abn.md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P_inj / v_rel θ</w:t>
            </w:r>
          </w:p>
        </w:tc>
        <w:tc>
          <w:tcPr/>
          <w:p>
            <w:pPr>
              <w:pStyle w:val="Compact"/>
            </w:pPr>
            <w:r>
              <w:t xml:space="preserve">t_nr θ</w:t>
            </w:r>
          </w:p>
        </w:tc>
        <w:tc>
          <w:tcPr/>
          <w:p>
            <w:pPr>
              <w:pStyle w:val="Compact"/>
            </w:pPr>
            <w:r>
              <w:t xml:space="preserve">a_f,min θ</w:t>
            </w:r>
          </w:p>
        </w:tc>
      </w:tr>
      <w:tr>
        <w:tc>
          <w:tcPr/>
          <w:p>
            <w:pPr>
              <w:pStyle w:val="Compact"/>
            </w:pPr>
            <w:r>
              <w:t xml:space="preserve">B: active inference</w:t>
            </w:r>
          </w:p>
        </w:tc>
        <w:tc>
          <w:tcPr/>
          <w:p>
            <w:pPr>
              <w:pStyle w:val="Compact"/>
            </w:pPr>
            <w:r>
              <w:t xml:space="preserve">0.31 [0.26, 0.35]</w:t>
            </w:r>
          </w:p>
        </w:tc>
        <w:tc>
          <w:tcPr/>
          <w:p>
            <w:pPr>
              <w:pStyle w:val="Compact"/>
            </w:pPr>
            <w:r>
              <w:t xml:space="preserve">0.38 [0.33, 0.45]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C: CBM control</w:t>
            </w:r>
          </w:p>
        </w:tc>
        <w:tc>
          <w:tcPr/>
          <w:p>
            <w:pPr>
              <w:pStyle w:val="Compact"/>
            </w:pPr>
            <w:r>
              <w:t xml:space="preserve">0.39 [0.35, 0.42]</w:t>
            </w:r>
          </w:p>
        </w:tc>
        <w:tc>
          <w:tcPr/>
          <w:p>
            <w:pPr>
              <w:pStyle w:val="Compact"/>
            </w:pPr>
            <w:r>
              <w:t xml:space="preserve">0.43 [0.38, 0.51]</w:t>
            </w:r>
          </w:p>
        </w:tc>
        <w:tc>
          <w:tcPr/>
          <w:p>
            <w:pPr>
              <w:pStyle w:val="Compact"/>
            </w:pPr>
            <w:r>
              <w:t xml:space="preserve">1.65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D: glances only</w:t>
            </w:r>
          </w:p>
        </w:tc>
        <w:tc>
          <w:tcPr/>
          <w:p>
            <w:pPr>
              <w:pStyle w:val="Compact"/>
            </w:pPr>
            <w:r>
              <w:t xml:space="preserve">0.44 [0.39, 0.47]</w:t>
            </w:r>
          </w:p>
        </w:tc>
        <w:tc>
          <w:tcPr/>
          <w:p>
            <w:pPr>
              <w:pStyle w:val="Compact"/>
            </w:pPr>
            <w:r>
              <w:t xml:space="preserve">0.38 [0.33, 0.45]</w:t>
            </w:r>
          </w:p>
        </w:tc>
        <w:tc>
          <w:tcPr/>
          <w:p>
            <w:pPr>
              <w:pStyle w:val="Compact"/>
            </w:pPr>
            <w:r>
              <w:t xml:space="preserve">1.13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 + abnormal acceleration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0.148 [0.110, 0.204]</w:t>
            </w:r>
          </w:p>
        </w:tc>
        <w:tc>
          <w:tcPr/>
          <w:p>
            <w:pPr>
              <w:pStyle w:val="Compact"/>
            </w:pPr>
            <w:r>
              <w:t xml:space="preserve">0.42 [0.37, 0.47]</w:t>
            </w:r>
          </w:p>
        </w:tc>
        <w:tc>
          <w:tcPr/>
          <w:p>
            <w:pPr>
              <w:pStyle w:val="Compact"/>
            </w:pPr>
            <w:r>
              <w:t xml:space="preserve">1.06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+ abnormal acceleration</w:t>
            </w:r>
          </w:p>
        </w:tc>
        <w:tc>
          <w:tcPr/>
          <w:p>
            <w:pPr>
              <w:pStyle w:val="Compact"/>
            </w:pPr>
            <w:r>
              <w:t xml:space="preserve">0.209 [0.176, 0.244]</w:t>
            </w:r>
          </w:p>
        </w:tc>
        <w:tc>
          <w:tcPr/>
          <w:p>
            <w:pPr>
              <w:pStyle w:val="Compact"/>
            </w:pPr>
            <w:r>
              <w:t xml:space="preserve">0.46 [0.42, 0.50]</w:t>
            </w:r>
          </w:p>
        </w:tc>
        <w:tc>
          <w:tcPr/>
          <w:p>
            <w:pPr>
              <w:pStyle w:val="Compact"/>
            </w:pPr>
            <w:r>
              <w:t xml:space="preserve">1.38</w:t>
            </w:r>
          </w:p>
        </w:tc>
      </w:tr>
    </w:tbl>
    <w:p>
      <w:pPr>
        <w:pStyle w:val="BodyText"/>
      </w:pPr>
      <w:r>
        <w:rPr>
          <w:i/>
          <w:iCs/>
        </w:rPr>
        <w:t xml:space="preserve">The intervals for the two abnormal-component rows were regenerated 2026-08-26 under the</w:t>
      </w:r>
      <w:r>
        <w:rPr>
          <w:i/>
          <w:iCs/>
        </w:rPr>
        <w:t xml:space="preserve"> </w:t>
      </w:r>
      <w:r>
        <w:rPr>
          <w:i/>
          <w:iCs/>
        </w:rPr>
        <w:t xml:space="preserve">conventions settled in section 4.3b; point estimates are unchanged throughout. The first</w:t>
      </w:r>
      <w:r>
        <w:rPr>
          <w:i/>
          <w:iCs/>
        </w:rPr>
        <w:t xml:space="preserve"> </w:t>
      </w:r>
      <w:r>
        <w:rPr>
          <w:i/>
          <w:iCs/>
        </w:rPr>
        <w:t xml:space="preserve">three rows still carry pre-correction intervals and are marked as such below.</w:t>
      </w:r>
    </w:p>
    <w:p>
      <w:pPr>
        <w:pStyle w:val="BodyText"/>
      </w:pPr>
      <w:r>
        <w:t xml:space="preserve">Three things changed against the 100-seed sample. First, everything tightened and most</w:t>
      </w:r>
      <w:r>
        <w:t xml:space="preserve"> </w:t>
      </w:r>
      <w:r>
        <w:t xml:space="preserve">things improved — the sample’s widest HDIs were sampling noise. Second,</w:t>
      </w:r>
      <w:r>
        <w:t xml:space="preserve"> </w:t>
      </w:r>
      <w:r>
        <w:rPr>
          <w:b/>
          <w:bCs/>
        </w:rPr>
        <w:t xml:space="preserve">the ordering</w:t>
      </w:r>
      <w:r>
        <w:rPr>
          <w:b/>
          <w:bCs/>
        </w:rPr>
        <w:t xml:space="preserve"> </w:t>
      </w:r>
      <w:r>
        <w:rPr>
          <w:b/>
          <w:bCs/>
        </w:rPr>
        <w:t xml:space="preserve">reversed: the active-inference conditions are now closer to the reference than the CBM</w:t>
      </w:r>
      <w:r>
        <w:rPr>
          <w:b/>
          <w:bCs/>
        </w:rPr>
        <w:t xml:space="preserve"> </w:t>
      </w:r>
      <w:r>
        <w:rPr>
          <w:b/>
          <w:bCs/>
        </w:rPr>
        <w:t xml:space="preserve">control on severity</w:t>
      </w:r>
      <w:r>
        <w:t xml:space="preserve"> </w:t>
      </w:r>
      <w:r>
        <w:t xml:space="preserve">(B 0.31 versus C 0.39; with the abnormal component 0.148 versus</w:t>
      </w:r>
      <w:r>
        <w:t xml:space="preserve"> </w:t>
      </w:r>
      <w:r>
        <w:t xml:space="preserve">0.209) — the control’s advantage in the sample did not survive the population, and the</w:t>
      </w:r>
      <w:r>
        <w:t xml:space="preserve"> </w:t>
      </w:r>
      <w:r>
        <w:t xml:space="preserve">ordering is confirmed as a paired difference in section 4.3b-ii. Third, the best</w:t>
      </w:r>
      <w:r>
        <w:t xml:space="preserve"> </w:t>
      </w:r>
      <w:r>
        <w:t xml:space="preserve">configuration — active inference with all five components — reaches</w:t>
      </w:r>
      <w:r>
        <w:t xml:space="preserve"> </w:t>
      </w:r>
      <w:r>
        <w:rPr>
          <w:b/>
          <w:bCs/>
        </w:rPr>
        <w:t xml:space="preserve">P_inj θ = 0.148</w:t>
      </w:r>
      <w:r>
        <w:t xml:space="preserve">,</w:t>
      </w:r>
      <w:r>
        <w:t xml:space="preserve"> </w:t>
      </w:r>
      <w:r>
        <w:t xml:space="preserve">down from the factor of 14 the study started from. Whether that constitutes practical</w:t>
      </w:r>
      <w:r>
        <w:t xml:space="preserve"> </w:t>
      </w:r>
      <w:r>
        <w:t xml:space="preserve">equivalence depends on a threshold this document no longer inherits: against the project’s</w:t>
      </w:r>
      <w:r>
        <w:t xml:space="preserve"> </w:t>
      </w:r>
      <w:r>
        <w:t xml:space="preserve">adopted θthd = 0.188 the point estimate passes but the interval’s upper end does not</w:t>
      </w:r>
      <w:r>
        <w:t xml:space="preserve"> </w:t>
      </w:r>
      <w:r>
        <w:t xml:space="preserve">(section 4.3b). The braking distribution (a_f,min) remains the largest departure for every</w:t>
      </w:r>
      <w:r>
        <w:t xml:space="preserve"> </w:t>
      </w:r>
      <w:r>
        <w:t xml:space="preserve">configuration, though section 4.3c shows that its θ overstates the case badly.</w:t>
      </w:r>
    </w:p>
    <w:bookmarkEnd w:id="20"/>
    <w:bookmarkStart w:id="21" w:name="Xf1b6ac4862c8062dc031bc0ab36f24ebb61fa68"/>
    <w:p>
      <w:pPr>
        <w:pStyle w:val="Heading3"/>
      </w:pPr>
      <w:r>
        <w:t xml:space="preserve">4.3b How the intervals above were produced, and a correction (2026-08-26)</w:t>
      </w:r>
    </w:p>
    <w:p>
      <w:pPr>
        <w:pStyle w:val="FirstParagraph"/>
      </w:pPr>
      <w:r>
        <w:t xml:space="preserve">The bootstrap used to produce the credible intervals in section 4.3 drew reference</w:t>
      </w:r>
      <w:r>
        <w:t xml:space="preserve"> </w:t>
      </w:r>
      <w:r>
        <w:rPr>
          <w:i/>
          <w:iCs/>
        </w:rPr>
        <w:t xml:space="preserve">values</w:t>
      </w:r>
      <w:r>
        <w:t xml:space="preserve"> </w:t>
      </w:r>
      <w:r>
        <w:t xml:space="preserve">with probability proportional to their weight and then treated the resample as unweighted.</w:t>
      </w:r>
      <w:r>
        <w:t xml:space="preserve"> </w:t>
      </w:r>
      <w:r>
        <w:t xml:space="preserve">That gives the precision of 5 000 independent draws. The QUADRIS reference is weighted</w:t>
      </w:r>
      <w:r>
        <w:t xml:space="preserve"> </w:t>
      </w:r>
      <w:r>
        <w:t xml:space="preserve">strongly enough that its effective sample size is</w:t>
      </w:r>
      <w:r>
        <w:t xml:space="preserve"> </w:t>
      </w:r>
      <w:r>
        <w:rPr>
          <w:b/>
          <w:bCs/>
        </w:rPr>
        <w:t xml:space="preserve">950, not 5 000</w:t>
      </w:r>
      <w:r>
        <w:t xml:space="preserve"> </w:t>
      </w:r>
      <w:r>
        <w:t xml:space="preserve">— the top 10% of</w:t>
      </w:r>
      <w:r>
        <w:t xml:space="preserve"> </w:t>
      </w:r>
      <w:r>
        <w:t xml:space="preserve">scenarios carry 54% of the weight — so the correct nonparametric bootstrap resamples the</w:t>
      </w:r>
      <w:r>
        <w:t xml:space="preserve"> </w:t>
      </w:r>
      <w:r>
        <w:t xml:space="preserve">scenarios uniformly and carries their weights.</w:t>
      </w:r>
    </w:p>
    <w:p>
      <w:pPr>
        <w:pStyle w:val="BodyText"/>
      </w:pPr>
      <w:r>
        <w:rPr>
          <w:b/>
          <w:bCs/>
        </w:rPr>
        <w:t xml:space="preserve">Consequence: every HDI produced before that date is too narrow, by roughly a factor of</w:t>
      </w:r>
      <w:r>
        <w:rPr>
          <w:b/>
          <w:bCs/>
        </w:rPr>
        <w:t xml:space="preserve"> </w:t>
      </w:r>
      <w:r>
        <w:rPr>
          <w:b/>
          <w:bCs/>
        </w:rPr>
        <w:t xml:space="preserve">two.</w:t>
      </w:r>
      <w:r>
        <w:t xml:space="preserve"> </w:t>
      </w:r>
      <w:r>
        <w:t xml:space="preserve">On the severity metric the 95% upper bound for a model that is exactly right moves</w:t>
      </w:r>
      <w:r>
        <w:t xml:space="preserve"> </w:t>
      </w:r>
      <w:r>
        <w:t xml:space="preserve">from 0.075 to 0.177 at N = 5. Point estimates of θ and Θ are unaffected, so</w:t>
      </w:r>
      <w:r>
        <w:t xml:space="preserve"> </w:t>
      </w:r>
      <w:r>
        <w:rPr>
          <w:b/>
          <w:bCs/>
        </w:rPr>
        <w:t xml:space="preserve">the comparison</w:t>
      </w:r>
      <w:r>
        <w:rPr>
          <w:b/>
          <w:bCs/>
        </w:rPr>
        <w:t xml:space="preserve"> </w:t>
      </w:r>
      <w:r>
        <w:rPr>
          <w:b/>
          <w:bCs/>
        </w:rPr>
        <w:t xml:space="preserve">this study rests on — condition B closer to the reference than condition C — is unchanged</w:t>
      </w:r>
      <w:r>
        <w:t xml:space="preserve">,</w:t>
      </w:r>
      <w:r>
        <w:t xml:space="preserve"> </w:t>
      </w:r>
      <w:r>
        <w:t xml:space="preserve">as are all the per-bin diagnostics.</w:t>
      </w:r>
    </w:p>
    <w:p>
      <w:pPr>
        <w:pStyle w:val="BodyText"/>
      </w:pPr>
      <w:r>
        <w:rPr>
          <w:b/>
          <w:bCs/>
        </w:rPr>
        <w:t xml:space="preserve">What has and has not been regenerated.</w:t>
      </w:r>
      <w:r>
        <w:t xml:space="preserve"> </w:t>
      </w:r>
      <w:r>
        <w:t xml:space="preserve">The two abnormal-component rows of section 4.3,</w:t>
      </w:r>
      <w:r>
        <w:t xml:space="preserve"> </w:t>
      </w:r>
      <w:r>
        <w:t xml:space="preserve">the section 4.4 bin sweep and the summary files in</w:t>
      </w:r>
      <w:r>
        <w:t xml:space="preserve"> </w:t>
      </w:r>
      <w:r>
        <w:rPr>
          <w:rStyle w:val="VerbatimChar"/>
        </w:rPr>
        <w:t xml:space="preserve">replication/causation/out/</w:t>
      </w:r>
      <w:r>
        <w:t xml:space="preserve"> </w:t>
      </w:r>
      <w:r>
        <w:t xml:space="preserve">have been</w:t>
      </w:r>
      <w:r>
        <w:t xml:space="preserve"> </w:t>
      </w:r>
      <w:r>
        <w:t xml:space="preserve">regenerated under the conventions below. The first three rows of section 4.3 (conditions B,</w:t>
      </w:r>
      <w:r>
        <w:t xml:space="preserve"> </w:t>
      </w:r>
      <w:r>
        <w:t xml:space="preserve">C and D without the abnormal component) and the 100-seed sensitivity ladder still carry</w:t>
      </w:r>
      <w:r>
        <w:t xml:space="preserve"> </w:t>
      </w:r>
      <w:r>
        <w:t xml:space="preserve">pre-correction intervals; their point estimates stand, their intervals should be read as</w:t>
      </w:r>
      <w:r>
        <w:t xml:space="preserve"> </w:t>
      </w:r>
      <w:r>
        <w:t xml:space="preserve">roughly half as wide as they should be, and they are retained because nothing in the</w:t>
      </w:r>
      <w:r>
        <w:t xml:space="preserve"> </w:t>
      </w:r>
      <w:r>
        <w:t xml:space="preserve">argument depends on them.</w:t>
      </w:r>
    </w:p>
    <w:p>
      <w:pPr>
        <w:pStyle w:val="BodyText"/>
      </w:pPr>
      <w:r>
        <w:rPr>
          <w:b/>
          <w:bCs/>
        </w:rPr>
        <w:t xml:space="preserve">Resolution (2026-08-26).</w:t>
      </w:r>
      <w:r>
        <w:t xml:space="preserve"> </w:t>
      </w:r>
      <w:r>
        <w:t xml:space="preserve">The defect prompted a decision that had been left implicit:</w:t>
      </w:r>
      <w:r>
        <w:t xml:space="preserve"> </w:t>
      </w:r>
      <w:r>
        <w:t xml:space="preserve">whether the 5 000 QUADRIS scenarios are the</w:t>
      </w:r>
      <w:r>
        <w:t xml:space="preserve"> </w:t>
      </w:r>
      <w:r>
        <w:rPr>
          <w:i/>
          <w:iCs/>
        </w:rPr>
        <w:t xml:space="preserve">target population</w:t>
      </w:r>
      <w:r>
        <w:t xml:space="preserve"> </w:t>
      </w:r>
      <w:r>
        <w:t xml:space="preserve">or a</w:t>
      </w:r>
      <w:r>
        <w:t xml:space="preserve"> </w:t>
      </w:r>
      <w:r>
        <w:rPr>
          <w:i/>
          <w:iCs/>
        </w:rPr>
        <w:t xml:space="preserve">sample</w:t>
      </w:r>
      <w:r>
        <w:t xml:space="preserve"> </w:t>
      </w:r>
      <w:r>
        <w:t xml:space="preserve">from the</w:t>
      </w:r>
      <w:r>
        <w:t xml:space="preserve"> </w:t>
      </w:r>
      <w:r>
        <w:t xml:space="preserve">generator. The project’s convention is now the former, on the grounds that this study</w:t>
      </w:r>
      <w:r>
        <w:t xml:space="preserve"> </w:t>
      </w:r>
      <w:r>
        <w:t xml:space="preserve">compares response processes on a fixed, shared ensemble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docs/equivalence_rope_note.md</w:t>
      </w:r>
      <w:r>
        <w:t xml:space="preserve"> </w:t>
      </w:r>
      <w:r>
        <w:t xml:space="preserve">§2.5).</w:t>
      </w:r>
      <w:r>
        <w:t xml:space="preserve"> </w:t>
      </w:r>
      <w:r>
        <w:rPr>
          <w:rStyle w:val="VerbatimChar"/>
        </w:rPr>
        <w:t xml:space="preserve">equivalence_test</w:t>
      </w:r>
      <w:r>
        <w:t xml:space="preserve"> </w:t>
      </w:r>
      <w:r>
        <w:t xml:space="preserve">therefore defaults to</w:t>
      </w:r>
      <w:r>
        <w:t xml:space="preserve"> </w:t>
      </w:r>
      <w:r>
        <w:rPr>
          <w:rStyle w:val="VerbatimChar"/>
        </w:rPr>
        <w:t xml:space="preserve">resample="population"</w:t>
      </w:r>
      <w:r>
        <w:t xml:space="preserve">, which fixes the bin edges and reference proportions and resamples</w:t>
      </w:r>
      <w:r>
        <w:t xml:space="preserve"> </w:t>
      </w:r>
      <w:r>
        <w:t xml:space="preserve">only the synthetic side;</w:t>
      </w:r>
      <w:r>
        <w:t xml:space="preserve"> </w:t>
      </w:r>
      <w:r>
        <w:rPr>
          <w:rStyle w:val="VerbatimChar"/>
        </w:rPr>
        <w:t xml:space="preserve">resample="cases"</w:t>
      </w:r>
      <w:r>
        <w:t xml:space="preserve"> </w:t>
      </w:r>
      <w:r>
        <w:t xml:space="preserve">implements the sample reading for any claim that</w:t>
      </w:r>
      <w:r>
        <w:t xml:space="preserve"> </w:t>
      </w:r>
      <w:r>
        <w:t xml:space="preserve">generalizes beyond the ensemble, and</w:t>
      </w:r>
      <w:r>
        <w:t xml:space="preserve"> </w:t>
      </w:r>
      <w:r>
        <w:rPr>
          <w:rStyle w:val="VerbatimChar"/>
        </w:rPr>
        <w:t xml:space="preserve">resample="values"</w:t>
      </w:r>
      <w:r>
        <w:t xml:space="preserve"> </w:t>
      </w:r>
      <w:r>
        <w:t xml:space="preserve">is retained solely to reproduce</w:t>
      </w:r>
      <w:r>
        <w:t xml:space="preserve"> </w:t>
      </w:r>
      <w:r>
        <w:t xml:space="preserve">pre-correction numbers.</w:t>
      </w:r>
      <w:r>
        <w:t xml:space="preserve"> </w:t>
      </w:r>
      <w:r>
        <w:rPr>
          <w:b/>
          <w:bCs/>
        </w:rPr>
        <w:t xml:space="preserve">The tables in section 4.3 have been regenerated under the</w:t>
      </w:r>
      <w:r>
        <w:rPr>
          <w:b/>
          <w:bCs/>
        </w:rPr>
        <w:t xml:space="preserve"> </w:t>
      </w:r>
      <w:r>
        <w:rPr>
          <w:b/>
          <w:bCs/>
        </w:rPr>
        <w:t xml:space="preserve">population convention</w:t>
      </w:r>
      <w:r>
        <w:t xml:space="preserve"> </w:t>
      </w:r>
      <w:r>
        <w:t xml:space="preserve">and now read: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severity θ</w:t>
            </w:r>
          </w:p>
        </w:tc>
        <w:tc>
          <w:tcPr/>
          <w:p>
            <w:pPr>
              <w:pStyle w:val="Compact"/>
            </w:pPr>
            <w:r>
              <w:t xml:space="preserve">95% HDI</w:t>
            </w:r>
          </w:p>
        </w:tc>
        <w:tc>
          <w:tcPr/>
          <w:p>
            <w:pPr>
              <w:pStyle w:val="Compact"/>
            </w:pPr>
            <w:r>
              <w:t xml:space="preserve">severity Θ</w:t>
            </w:r>
          </w:p>
        </w:tc>
        <w:tc>
          <w:tcPr/>
          <w:p>
            <w:pPr>
              <w:pStyle w:val="Compact"/>
            </w:pPr>
            <w:r>
              <w:t xml:space="preserve">95% HDI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B: active inference</w:t>
            </w:r>
          </w:p>
        </w:tc>
        <w:tc>
          <w:tcPr/>
          <w:p>
            <w:pPr>
              <w:pStyle w:val="Compact"/>
            </w:pPr>
            <w:r>
              <w:t xml:space="preserve">0.148</w:t>
            </w:r>
          </w:p>
        </w:tc>
        <w:tc>
          <w:tcPr/>
          <w:p>
            <w:pPr>
              <w:pStyle w:val="Compact"/>
            </w:pPr>
            <w:r>
              <w:t xml:space="preserve">[0.110, 0.204]</w:t>
            </w:r>
          </w:p>
        </w:tc>
        <w:tc>
          <w:tcPr/>
          <w:p>
            <w:pPr>
              <w:pStyle w:val="Compact"/>
            </w:pPr>
            <w:r>
              <w:t xml:space="preserve">0.091</w:t>
            </w:r>
          </w:p>
        </w:tc>
        <w:tc>
          <w:tcPr/>
          <w:p>
            <w:pPr>
              <w:pStyle w:val="Compact"/>
            </w:pPr>
            <w:r>
              <w:t xml:space="preserve">[0.068, 0.117]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C: CBM control</w:t>
            </w:r>
          </w:p>
        </w:tc>
        <w:tc>
          <w:tcPr/>
          <w:p>
            <w:pPr>
              <w:pStyle w:val="Compact"/>
            </w:pPr>
            <w:r>
              <w:t xml:space="preserve">0.209</w:t>
            </w:r>
          </w:p>
        </w:tc>
        <w:tc>
          <w:tcPr/>
          <w:p>
            <w:pPr>
              <w:pStyle w:val="Compact"/>
            </w:pPr>
            <w:r>
              <w:t xml:space="preserve">[0.176, 0.244]</w:t>
            </w:r>
          </w:p>
        </w:tc>
        <w:tc>
          <w:tcPr/>
          <w:p>
            <w:pPr>
              <w:pStyle w:val="Compact"/>
            </w:pPr>
            <w:r>
              <w:t xml:space="preserve">0.150</w:t>
            </w:r>
          </w:p>
        </w:tc>
        <w:tc>
          <w:tcPr/>
          <w:p>
            <w:pPr>
              <w:pStyle w:val="Compact"/>
            </w:pPr>
            <w:r>
              <w:t xml:space="preserve">[0.132, 0.166]</w:t>
            </w:r>
          </w:p>
        </w:tc>
      </w:tr>
    </w:tbl>
    <w:p>
      <w:pPr>
        <w:pStyle w:val="BodyText"/>
      </w:pPr>
      <w:r>
        <w:t xml:space="preserve">The noise floor under this convention is about 0.021, so these intervals describe the model</w:t>
      </w:r>
      <w:r>
        <w:t xml:space="preserve"> </w:t>
      </w:r>
      <w:r>
        <w:t xml:space="preserve">rather than the instrument. Against the project’s adopted thresholds (θthd = 0.188,</w:t>
      </w:r>
      <w:r>
        <w:t xml:space="preserve"> </w:t>
      </w:r>
      <w:r>
        <w:t xml:space="preserve">Θthd = 0.089, from a 10% tolerance on the injury-weighted mean) condition B misses practical</w:t>
      </w:r>
      <w:r>
        <w:t xml:space="preserve"> </w:t>
      </w:r>
      <w:r>
        <w:t xml:space="preserve">equivalence on the upper end of its interval, and condition C misses on every reading.</w:t>
      </w:r>
    </w:p>
    <w:bookmarkEnd w:id="21"/>
    <w:bookmarkStart w:id="22" w:name="X7d617d086e50e339ac9f304122260b28088c84b"/>
    <w:p>
      <w:pPr>
        <w:pStyle w:val="Heading3"/>
      </w:pPr>
      <w:r>
        <w:t xml:space="preserve">4.3b-ii The B-versus-C ordering, tested as a difference</w:t>
      </w:r>
      <w:r>
        <w:t xml:space="preserve"> </w:t>
      </w:r>
      <w:r>
        <w:rPr>
          <w:i/>
          <w:iCs/>
        </w:rPr>
        <w:t xml:space="preserve">(revised 2026-08-27)</w:t>
      </w:r>
    </w:p>
    <w:p>
      <w:pPr>
        <w:pStyle w:val="FirstParagraph"/>
      </w:pPr>
      <w:r>
        <w:t xml:space="preserve">The quantity the study’s claim concerns is the difference θ_C − θ_B, so that is what</w:t>
      </w:r>
      <w:r>
        <w:t xml:space="preserve"> </w:t>
      </w:r>
      <w:r>
        <w:t xml:space="preserve">should carry an interval — comparing overlapping marginal HDIs would understate the</w:t>
      </w:r>
      <w:r>
        <w:t xml:space="preserve"> </w:t>
      </w:r>
      <w:r>
        <w:t xml:space="preserve">evidence where the two estimates share uncertainty (under the sample reading they share</w:t>
      </w:r>
      <w:r>
        <w:t xml:space="preserve"> </w:t>
      </w:r>
      <w:r>
        <w:t xml:space="preserve">the reference draw), and can mislead in either direction.</w:t>
      </w:r>
    </w:p>
    <w:p>
      <w:pPr>
        <w:pStyle w:val="BodyText"/>
      </w:pPr>
      <w:r>
        <w:rPr>
          <w:i/>
          <w:iCs/>
        </w:rPr>
        <w:t xml:space="preserve">Correction.</w:t>
      </w:r>
      <w:r>
        <w:t xml:space="preserve"> </w:t>
      </w:r>
      <w:r>
        <w:t xml:space="preserve">The first version of this section (2026-08-26) reported the difference as</w:t>
      </w:r>
      <w:r>
        <w:t xml:space="preserve"> </w:t>
      </w:r>
      <w:r>
        <w:t xml:space="preserve">0.061 with a 95% HDI of [0.037, 0.107] and a unanimous sign, from an analysis that</w:t>
      </w:r>
      <w:r>
        <w:t xml:space="preserve"> </w:t>
      </w:r>
      <w:r>
        <w:t xml:space="preserve">resampled the reference while holding</w:t>
      </w:r>
      <w:r>
        <w:t xml:space="preserve"> </w:t>
      </w:r>
      <w:r>
        <w:rPr>
          <w:b/>
          <w:bCs/>
        </w:rPr>
        <w:t xml:space="preserve">both synthetic sides fixed</w:t>
      </w:r>
      <w:r>
        <w:t xml:space="preserve">. That omits the</w:t>
      </w:r>
      <w:r>
        <w:t xml:space="preserve"> </w:t>
      </w:r>
      <w:r>
        <w:t xml:space="preserve">synthetic-side sampling variance, which is independent between the conditions and does not</w:t>
      </w:r>
      <w:r>
        <w:t xml:space="preserve"> </w:t>
      </w:r>
      <w:r>
        <w:t xml:space="preserve">cancel in the difference; the certainty was overstated by exactly the kind of incomplete</w:t>
      </w:r>
      <w:r>
        <w:t xml:space="preserve"> </w:t>
      </w:r>
      <w:r>
        <w:t xml:space="preserve">uncertainty accounting section 4.3b corrects. The analysis is now committed</w:t>
      </w:r>
      <w:r>
        <w:t xml:space="preserve"> </w:t>
      </w:r>
      <w:r>
        <w:t xml:space="preserve">(</w:t>
      </w:r>
      <w:r>
        <w:rPr>
          <w:rStyle w:val="VerbatimChar"/>
        </w:rPr>
        <w:t xml:space="preserve">replication/causation/paired_difference.py</w:t>
      </w:r>
      <w:r>
        <w:t xml:space="preserve">, 1 000 draws) and runs all three schemes: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scheme</w:t>
            </w:r>
          </w:p>
        </w:tc>
        <w:tc>
          <w:tcPr/>
          <w:p>
            <w:pPr>
              <w:pStyle w:val="Compact"/>
            </w:pPr>
            <w:r>
              <w:t xml:space="preserve">mean θ_C − θ_B</w:t>
            </w:r>
          </w:p>
        </w:tc>
        <w:tc>
          <w:tcPr/>
          <w:p>
            <w:pPr>
              <w:pStyle w:val="Compact"/>
            </w:pPr>
            <w:r>
              <w:t xml:space="preserve">95% HDI</w:t>
            </w:r>
          </w:p>
        </w:tc>
        <w:tc>
          <w:tcPr/>
          <w:p>
            <w:pPr>
              <w:pStyle w:val="Compact"/>
            </w:pPr>
            <w:r>
              <w:t xml:space="preserve">P(θ_C &gt; θ_B)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reference-only (the 2026-08-26 analysis; incomplete)</w:t>
            </w:r>
          </w:p>
        </w:tc>
        <w:tc>
          <w:tcPr/>
          <w:p>
            <w:pPr>
              <w:pStyle w:val="Compact"/>
            </w:pPr>
            <w:r>
              <w:t xml:space="preserve">0.071</w:t>
            </w:r>
          </w:p>
        </w:tc>
        <w:tc>
          <w:tcPr/>
          <w:p>
            <w:pPr>
              <w:pStyle w:val="Compact"/>
            </w:pPr>
            <w:r>
              <w:t xml:space="preserve">[0.039, 0.110]</w:t>
            </w:r>
          </w:p>
        </w:tc>
        <w:tc>
          <w:tcPr/>
          <w:p>
            <w:pPr>
              <w:pStyle w:val="Compact"/>
            </w:pPr>
            <w:r>
              <w:t xml:space="preserve">0.998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population convention</w:t>
            </w:r>
            <w:r>
              <w:t xml:space="preserve"> </w:t>
            </w:r>
            <w:r>
              <w:t xml:space="preserve">(reference fixed, synthetic sides resampled)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0.055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[−0.006, 0.110]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cases (shared reference draw + synthetic resamples)</w:t>
            </w:r>
          </w:p>
        </w:tc>
        <w:tc>
          <w:tcPr/>
          <w:p>
            <w:pPr>
              <w:pStyle w:val="Compact"/>
            </w:pPr>
            <w:r>
              <w:t xml:space="preserve">0.068</w:t>
            </w:r>
          </w:p>
        </w:tc>
        <w:tc>
          <w:tcPr/>
          <w:p>
            <w:pPr>
              <w:pStyle w:val="Compact"/>
            </w:pPr>
            <w:r>
              <w:t xml:space="preserve">[0.001, 0.147]</w:t>
            </w:r>
          </w:p>
        </w:tc>
        <w:tc>
          <w:tcPr/>
          <w:p>
            <w:pPr>
              <w:pStyle w:val="Compact"/>
            </w:pPr>
            <w:r>
              <w:t xml:space="preserve">0.972</w:t>
            </w:r>
          </w:p>
        </w:tc>
      </w:tr>
    </w:tbl>
    <w:p>
      <w:pPr>
        <w:pStyle w:val="BodyText"/>
      </w:pPr>
      <w:r>
        <w:t xml:space="preserve">Point estimate: 0.061. Under the project’s own population convention the ordering has a</w:t>
      </w:r>
      <w:r>
        <w:t xml:space="preserve"> </w:t>
      </w:r>
      <w:r>
        <w:t xml:space="preserve">posterior probability of about</w:t>
      </w:r>
      <w:r>
        <w:t xml:space="preserve"> </w:t>
      </w:r>
      <w:r>
        <w:rPr>
          <w:b/>
          <w:bCs/>
        </w:rPr>
        <w:t xml:space="preserve">0.97</w:t>
      </w:r>
      <w:r>
        <w:t xml:space="preserve">, with an HDI that grazes zero. That is strong</w:t>
      </w:r>
      <w:r>
        <w:t xml:space="preserve"> </w:t>
      </w:r>
      <w:r>
        <w:t xml:space="preserve">support, not proof: the correct statement is that</w:t>
      </w:r>
      <w:r>
        <w:t xml:space="preserve"> </w:t>
      </w:r>
      <w:r>
        <w:rPr>
          <w:b/>
          <w:bCs/>
        </w:rPr>
        <w:t xml:space="preserve">the ordering is consistent in point</w:t>
      </w:r>
      <w:r>
        <w:rPr>
          <w:b/>
          <w:bCs/>
        </w:rPr>
        <w:t xml:space="preserve"> </w:t>
      </w:r>
      <w:r>
        <w:rPr>
          <w:b/>
          <w:bCs/>
        </w:rPr>
        <w:t xml:space="preserve">estimates at every bin count (section 4.4) and holds with ~0.97 probability under the</w:t>
      </w:r>
      <w:r>
        <w:rPr>
          <w:b/>
          <w:bCs/>
        </w:rPr>
        <w:t xml:space="preserve"> </w:t>
      </w:r>
      <w:r>
        <w:rPr>
          <w:b/>
          <w:bCs/>
        </w:rPr>
        <w:t xml:space="preserve">settled uncertainty convention</w:t>
      </w:r>
      <w:r>
        <w:t xml:space="preserve"> </w:t>
      </w:r>
      <w:r>
        <w:t xml:space="preserve">— no longer</w:t>
      </w:r>
      <w:r>
        <w:t xml:space="preserve"> </w:t>
      </w:r>
      <w:r>
        <w:t xml:space="preserve">“the same sign on every resample”</w:t>
      </w:r>
      <w:r>
        <w:t xml:space="preserve">. Two</w:t>
      </w:r>
      <w:r>
        <w:t xml:space="preserve"> </w:t>
      </w:r>
      <w:r>
        <w:t xml:space="preserve">mitigating observations: θ is a bootstrap-biased maximum statistic and the bias is larger</w:t>
      </w:r>
      <w:r>
        <w:t xml:space="preserve"> </w:t>
      </w:r>
      <w:r>
        <w:t xml:space="preserve">for B’s smaller crash-record count, which pushes the resampled difference</w:t>
      </w:r>
      <w:r>
        <w:t xml:space="preserve"> </w:t>
      </w:r>
      <w:r>
        <w:rPr>
          <w:i/>
          <w:iCs/>
        </w:rPr>
        <w:t xml:space="preserve">down</w:t>
      </w:r>
      <w:r>
        <w:t xml:space="preserve"> </w:t>
      </w:r>
      <w:r>
        <w:t xml:space="preserve">relative</w:t>
      </w:r>
      <w:r>
        <w:t xml:space="preserve"> </w:t>
      </w:r>
      <w:r>
        <w:t xml:space="preserve">to the point estimate; and the ordering is corroborated independently of θ by the</w:t>
      </w:r>
      <w:r>
        <w:t xml:space="preserve"> </w:t>
      </w:r>
      <w:r>
        <w:t xml:space="preserve">braking aggregate (section 4.3c: B within 0.3% of the reference where C over-brakes by</w:t>
      </w:r>
      <w:r>
        <w:t xml:space="preserve"> </w:t>
      </w:r>
      <w:r>
        <w:t xml:space="preserve">35%), which does not involve binning at all.</w:t>
      </w:r>
    </w:p>
    <w:p>
      <w:pPr>
        <w:pStyle w:val="BodyText"/>
      </w:pPr>
      <w:r>
        <w:t xml:space="preserve">The paired/difference form remains the right one for any future comparison between</w:t>
      </w:r>
      <w:r>
        <w:t xml:space="preserve"> </w:t>
      </w:r>
      <w:r>
        <w:t xml:space="preserve">conditions; the lesson added by the correction is that the synthetic sides must be</w:t>
      </w:r>
      <w:r>
        <w:t xml:space="preserve"> </w:t>
      </w:r>
      <w:r>
        <w:t xml:space="preserve">resampled too.</w:t>
      </w:r>
    </w:p>
    <w:bookmarkEnd w:id="22"/>
    <w:bookmarkStart w:id="23" w:name="X37e6aa9944ed54930b75e7c8aad5b5de1be324a"/>
    <w:p>
      <w:pPr>
        <w:pStyle w:val="Heading3"/>
      </w:pPr>
      <w:r>
        <w:t xml:space="preserve">4.3c Weighted aggregates, reported directly (added 2026-08-26)</w:t>
      </w:r>
    </w:p>
    <w:p>
      <w:pPr>
        <w:pStyle w:val="FirstParagraph"/>
      </w:pPr>
      <w:r>
        <w:t xml:space="preserve">Because θ and Θ constrain only the allocation of mass</w:t>
      </w:r>
      <w:r>
        <w:t xml:space="preserve"> </w:t>
      </w:r>
      <w:r>
        <w:rPr>
          <w:i/>
          <w:iCs/>
        </w:rPr>
        <w:t xml:space="preserve">between</w:t>
      </w:r>
      <w:r>
        <w:t xml:space="preserve"> </w:t>
      </w:r>
      <w:r>
        <w:t xml:space="preserve">bins, the readout now also</w:t>
      </w:r>
      <w:r>
        <w:t xml:space="preserve"> </w:t>
      </w:r>
      <w:r>
        <w:t xml:space="preserve">reports the weighted aggregate of each metric. The</w:t>
      </w:r>
      <w:r>
        <w:t xml:space="preserve"> </w:t>
      </w:r>
      <w:r>
        <w:t xml:space="preserve">“binned”</w:t>
      </w:r>
      <w:r>
        <w:t xml:space="preserve"> </w:t>
      </w:r>
      <w:r>
        <w:t xml:space="preserve">column is the bin-constant</w:t>
      </w:r>
      <w:r>
        <w:t xml:space="preserve"> </w:t>
      </w:r>
      <w:r>
        <w:t xml:space="preserve">approximation, which is the only quantity Θ bounds; where it diverges from the actual</w:t>
      </w:r>
      <w:r>
        <w:t xml:space="preserve"> </w:t>
      </w:r>
      <w:r>
        <w:t xml:space="preserve">column, the difference is within-bin and invisible to both statistics.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B rel. err.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 rel. err.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P_inj</w:t>
            </w:r>
          </w:p>
        </w:tc>
        <w:tc>
          <w:tcPr/>
          <w:p>
            <w:pPr>
              <w:pStyle w:val="Compact"/>
            </w:pPr>
            <w:r>
              <w:t xml:space="preserve">0.00615</w:t>
            </w:r>
          </w:p>
        </w:tc>
        <w:tc>
          <w:tcPr/>
          <w:p>
            <w:pPr>
              <w:pStyle w:val="Compact"/>
            </w:pPr>
            <w:r>
              <w:t xml:space="preserve">0.00693</w:t>
            </w:r>
          </w:p>
        </w:tc>
        <w:tc>
          <w:tcPr/>
          <w:p>
            <w:pPr>
              <w:pStyle w:val="Compact"/>
            </w:pPr>
            <w:r>
              <w:t xml:space="preserve">+12.6%</w:t>
            </w:r>
          </w:p>
        </w:tc>
        <w:tc>
          <w:tcPr/>
          <w:p>
            <w:pPr>
              <w:pStyle w:val="Compact"/>
            </w:pPr>
            <w:r>
              <w:t xml:space="preserve">0.00679</w:t>
            </w:r>
          </w:p>
        </w:tc>
        <w:tc>
          <w:tcPr/>
          <w:p>
            <w:pPr>
              <w:pStyle w:val="Compact"/>
            </w:pPr>
            <w:r>
              <w:t xml:space="preserve">+10.4%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relative speed at impact [m/s]</w:t>
            </w:r>
          </w:p>
        </w:tc>
        <w:tc>
          <w:tcPr/>
          <w:p>
            <w:pPr>
              <w:pStyle w:val="Compact"/>
            </w:pPr>
            <w:r>
              <w:t xml:space="preserve">4.788</w:t>
            </w:r>
          </w:p>
        </w:tc>
        <w:tc>
          <w:tcPr/>
          <w:p>
            <w:pPr>
              <w:pStyle w:val="Compact"/>
            </w:pPr>
            <w:r>
              <w:t xml:space="preserve">4.862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+1.6%</w:t>
            </w:r>
          </w:p>
        </w:tc>
        <w:tc>
          <w:tcPr/>
          <w:p>
            <w:pPr>
              <w:pStyle w:val="Compact"/>
            </w:pPr>
            <w:r>
              <w:t xml:space="preserve">4.775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−0.3%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t_nr [s]</w:t>
            </w:r>
          </w:p>
        </w:tc>
        <w:tc>
          <w:tcPr/>
          <w:p>
            <w:pPr>
              <w:pStyle w:val="Compact"/>
            </w:pPr>
            <w:r>
              <w:t xml:space="preserve">−0.1877</w:t>
            </w:r>
          </w:p>
        </w:tc>
        <w:tc>
          <w:tcPr/>
          <w:p>
            <w:pPr>
              <w:pStyle w:val="Compact"/>
            </w:pPr>
            <w:r>
              <w:t xml:space="preserve">−0.1986</w:t>
            </w:r>
          </w:p>
        </w:tc>
        <w:tc>
          <w:tcPr/>
          <w:p>
            <w:pPr>
              <w:pStyle w:val="Compact"/>
            </w:pPr>
            <w:r>
              <w:t xml:space="preserve">+5.8%</w:t>
            </w:r>
          </w:p>
        </w:tc>
        <w:tc>
          <w:tcPr/>
          <w:p>
            <w:pPr>
              <w:pStyle w:val="Compact"/>
            </w:pPr>
            <w:r>
              <w:t xml:space="preserve">−0.2094</w:t>
            </w:r>
          </w:p>
        </w:tc>
        <w:tc>
          <w:tcPr/>
          <w:p>
            <w:pPr>
              <w:pStyle w:val="Compact"/>
            </w:pPr>
            <w:r>
              <w:t xml:space="preserve">+11.6%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a_l,min [m/s²]</w:t>
            </w:r>
          </w:p>
        </w:tc>
        <w:tc>
          <w:tcPr/>
          <w:p>
            <w:pPr>
              <w:pStyle w:val="Compact"/>
            </w:pPr>
            <w:r>
              <w:t xml:space="preserve">−1.981</w:t>
            </w:r>
          </w:p>
        </w:tc>
        <w:tc>
          <w:tcPr/>
          <w:p>
            <w:pPr>
              <w:pStyle w:val="Compact"/>
            </w:pPr>
            <w:r>
              <w:t xml:space="preserve">−2.195</w:t>
            </w:r>
          </w:p>
        </w:tc>
        <w:tc>
          <w:tcPr/>
          <w:p>
            <w:pPr>
              <w:pStyle w:val="Compact"/>
            </w:pPr>
            <w:r>
              <w:t xml:space="preserve">+10.8%</w:t>
            </w:r>
          </w:p>
        </w:tc>
        <w:tc>
          <w:tcPr/>
          <w:p>
            <w:pPr>
              <w:pStyle w:val="Compact"/>
            </w:pPr>
            <w:r>
              <w:t xml:space="preserve">−2.104</w:t>
            </w:r>
          </w:p>
        </w:tc>
        <w:tc>
          <w:tcPr/>
          <w:p>
            <w:pPr>
              <w:pStyle w:val="Compact"/>
            </w:pPr>
            <w:r>
              <w:t xml:space="preserve">+6.2%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a_f,min [m/s²]</w:t>
            </w:r>
          </w:p>
        </w:tc>
        <w:tc>
          <w:tcPr/>
          <w:p>
            <w:pPr>
              <w:pStyle w:val="Compact"/>
            </w:pPr>
            <w:r>
              <w:t xml:space="preserve">−2.379</w:t>
            </w:r>
          </w:p>
        </w:tc>
        <w:tc>
          <w:tcPr/>
          <w:p>
            <w:pPr>
              <w:pStyle w:val="Compact"/>
            </w:pPr>
            <w:r>
              <w:t xml:space="preserve">−2.371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−0.3%</w:t>
            </w:r>
          </w:p>
        </w:tc>
        <w:tc>
          <w:tcPr/>
          <w:p>
            <w:pPr>
              <w:pStyle w:val="Compact"/>
            </w:pPr>
            <w:r>
              <w:t xml:space="preserve">−3.214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+35.1%</w:t>
            </w:r>
          </w:p>
        </w:tc>
      </w:tr>
    </w:tbl>
    <w:p>
      <w:pPr>
        <w:pStyle w:val="BodyText"/>
      </w:pPr>
      <w:r>
        <w:t xml:space="preserve">Three readings, two of them new.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braking metric separates the two response models far more sharply than θ does.</w:t>
      </w:r>
      <w:r>
        <w:t xml:space="preserve"> </w:t>
      </w:r>
      <w:r>
        <w:t xml:space="preserve">θ was 1.058 for B and 1.380 for C, both looking catastrophic and neither interpretable</w:t>
      </w:r>
      <w:r>
        <w:t xml:space="preserve"> </w:t>
      </w:r>
      <w:r>
        <w:t xml:space="preserve">(section 4.3b and</w:t>
      </w:r>
      <w:r>
        <w:t xml:space="preserve"> </w:t>
      </w:r>
      <w:r>
        <w:rPr>
          <w:rStyle w:val="VerbatimChar"/>
        </w:rPr>
        <w:t xml:space="preserve">docs/severity_vs_timing.md</w:t>
      </w:r>
      <w:r>
        <w:t xml:space="preserve"> </w:t>
      </w:r>
      <w:r>
        <w:t xml:space="preserve">explain why: a 48% atom at zero collapses</w:t>
      </w:r>
      <w:r>
        <w:t xml:space="preserve"> </w:t>
      </w:r>
      <w:r>
        <w:t xml:space="preserve">two of the five quantile edges). The weighted mean says something clean instead:</w:t>
      </w:r>
      <w:r>
        <w:t xml:space="preserve"> </w:t>
      </w:r>
      <w:r>
        <w:rPr>
          <w:b/>
          <w:bCs/>
        </w:rPr>
        <w:t xml:space="preserve">condition B reproduces the reference’s mean follower braking to within 0.3%, while the</w:t>
      </w:r>
      <w:r>
        <w:rPr>
          <w:b/>
          <w:bCs/>
        </w:rPr>
        <w:t xml:space="preserve"> </w:t>
      </w:r>
      <w:r>
        <w:rPr>
          <w:b/>
          <w:bCs/>
        </w:rPr>
        <w:t xml:space="preserve">CBM control over-brakes by 35%.</w:t>
      </w:r>
      <w:r>
        <w:t xml:space="preserve"> </w:t>
      </w:r>
      <w:r>
        <w:t xml:space="preserve">This is the strongest single statement of the finding</w:t>
      </w:r>
      <w:r>
        <w:t xml:space="preserve"> </w:t>
      </w:r>
      <w:r>
        <w:t xml:space="preserve">that only the active-inference conditions reproduce the reference’s dominant non-braking</w:t>
      </w:r>
      <w:r>
        <w:t xml:space="preserve"> </w:t>
      </w:r>
      <w:r>
        <w:t xml:space="preserve">crash character, and it was invisible in the θ column.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Severity is reproduced far better than the injury-risk figure suggests, and the two</w:t>
      </w:r>
      <w:r>
        <w:rPr>
          <w:b/>
          <w:bCs/>
        </w:rPr>
        <w:t xml:space="preserve"> </w:t>
      </w:r>
      <w:r>
        <w:rPr>
          <w:b/>
          <w:bCs/>
        </w:rPr>
        <w:t xml:space="preserve">disagree about which condition is closer.</w:t>
      </w:r>
      <w:r>
        <w:t xml:space="preserve"> </w:t>
      </w:r>
      <w:r>
        <w:t xml:space="preserve">Mean relative speed at impact is within 1.6%</w:t>
      </w:r>
    </w:p>
    <w:p>
      <w:pPr>
        <w:pStyle w:val="Compact"/>
        <w:numPr>
          <w:ilvl w:val="0"/>
          <w:numId w:val="1000"/>
        </w:numPr>
      </w:pPr>
      <w:r>
        <w:t xml:space="preserve">(B) and 0.3% (C) of the reference, while mean injury risk is 10–13% high for both.</w:t>
      </w:r>
      <w:r>
        <w:t xml:space="preserve"> </w:t>
      </w:r>
      <w:r>
        <w:t xml:space="preserve">P_inj is a logistic transform of the same variable, so the discrepancy is entirely the</w:t>
      </w:r>
      <w:r>
        <w:t xml:space="preserve"> </w:t>
      </w:r>
      <w:r>
        <w:t xml:space="preserve">convexity: injury risk is a</w:t>
      </w:r>
      <w:r>
        <w:t xml:space="preserve"> </w:t>
      </w:r>
      <w:r>
        <w:rPr>
          <w:i/>
          <w:iCs/>
        </w:rPr>
        <w:t xml:space="preserve">tail</w:t>
      </w:r>
      <w:r>
        <w:t xml:space="preserve"> </w:t>
      </w:r>
      <w:r>
        <w:t xml:space="preserve">statistic and relative speed a</w:t>
      </w:r>
      <w:r>
        <w:t xml:space="preserve"> </w:t>
      </w:r>
      <w:r>
        <w:rPr>
          <w:i/>
          <w:iCs/>
        </w:rPr>
        <w:t xml:space="preserve">location</w:t>
      </w:r>
      <w:r>
        <w:t xml:space="preserve"> </w:t>
      </w:r>
      <w:r>
        <w:t xml:space="preserve">statistic.</w:t>
      </w:r>
      <w:r>
        <w:t xml:space="preserve"> </w:t>
      </w:r>
      <w:r>
        <w:t xml:space="preserve">Condition C is the clearest case — its mean relative speed is 0.3%</w:t>
      </w:r>
      <w:r>
        <w:t xml:space="preserve"> </w:t>
      </w:r>
      <w:r>
        <w:rPr>
          <w:i/>
          <w:iCs/>
        </w:rPr>
        <w:t xml:space="preserve">below</w:t>
      </w:r>
      <w:r>
        <w:t xml:space="preserve"> </w:t>
      </w:r>
      <w:r>
        <w:t xml:space="preserve">the reference</w:t>
      </w:r>
      <w:r>
        <w:t xml:space="preserve"> </w:t>
      </w:r>
      <w:r>
        <w:t xml:space="preserve">while its mean injury risk is 10.4%</w:t>
      </w:r>
      <w:r>
        <w:t xml:space="preserve"> </w:t>
      </w:r>
      <w:r>
        <w:rPr>
          <w:i/>
          <w:iCs/>
        </w:rPr>
        <w:t xml:space="preserve">above</w:t>
      </w:r>
      <w:r>
        <w:t xml:space="preserve">, which is only possible through a heavier</w:t>
      </w:r>
      <w:r>
        <w:t xml:space="preserve"> </w:t>
      </w:r>
      <w:r>
        <w:t xml:space="preserve">tail. This is a concrete argument for operationalizing severity on relative speed at</w:t>
      </w:r>
      <w:r>
        <w:t xml:space="preserve"> </w:t>
      </w:r>
      <w:r>
        <w:t xml:space="preserve">impact, the assumption-free primitive, rather than on a derived injury model.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θ and the aggregate answer different questions and need not agree.</w:t>
      </w:r>
      <w:r>
        <w:t xml:space="preserve"> </w:t>
      </w:r>
      <w:r>
        <w:t xml:space="preserve">On severity θ</w:t>
      </w:r>
      <w:r>
        <w:t xml:space="preserve"> </w:t>
      </w:r>
      <w:r>
        <w:t xml:space="preserve">ranks B closer (0.148 versus 0.209) while the mean ranks C marginally closer (+1.6%</w:t>
      </w:r>
      <w:r>
        <w:t xml:space="preserve"> </w:t>
      </w:r>
      <w:r>
        <w:t xml:space="preserve">versus −0.3%). There is no contradiction: θ measures distributional shape at its worst</w:t>
      </w:r>
      <w:r>
        <w:t xml:space="preserve"> </w:t>
      </w:r>
      <w:r>
        <w:t xml:space="preserve">bin, the mean measures location. Both should be reported.</w:t>
      </w:r>
    </w:p>
    <w:bookmarkEnd w:id="23"/>
    <w:bookmarkStart w:id="24" w:name="bin-count-sensitivity-added-2026-08-26"/>
    <w:p>
      <w:pPr>
        <w:pStyle w:val="Heading3"/>
      </w:pPr>
      <w:r>
        <w:t xml:space="preserve">4.4 Bin-count sensitivity (added 2026-08-26)</w:t>
      </w:r>
    </w:p>
    <w:p>
      <w:pPr>
        <w:pStyle w:val="FirstParagraph"/>
      </w:pPr>
      <w:r>
        <w:t xml:space="preserve">The tables above use N = 5 quantile bins. That is what [W26] Eq. 4 gives for a 100–200</w:t>
      </w:r>
      <w:r>
        <w:t xml:space="preserve"> </w:t>
      </w:r>
      <w:r>
        <w:t xml:space="preserve">scenario reference — the size this study had when the assessment code was written, and the</w:t>
      </w:r>
      <w:r>
        <w:t xml:space="preserve"> </w:t>
      </w:r>
      <w:r>
        <w:t xml:space="preserve">size of the paper’s own demonstration — but at the full population the same rule gives</w:t>
      </w:r>
      <w:r>
        <w:t xml:space="preserve"> </w:t>
      </w:r>
      <w:r>
        <w:t xml:space="preserve">N = min(⌊5000/40⌋, 20) =</w:t>
      </w:r>
      <w:r>
        <w:t xml:space="preserve"> </w:t>
      </w:r>
      <w:r>
        <w:rPr>
          <w:b/>
          <w:bCs/>
        </w:rPr>
        <w:t xml:space="preserve">20</w:t>
      </w:r>
      <w:r>
        <w:t xml:space="preserve">. Since θ is a worst-bin statistic it tightens with finer</w:t>
      </w:r>
      <w:r>
        <w:t xml:space="preserve"> </w:t>
      </w:r>
      <w:r>
        <w:t xml:space="preserve">bins, so the headline numbers sit on the lenient side of the paper’s prescription. Re-running</w:t>
      </w:r>
      <w:r>
        <w:t xml:space="preserve"> </w:t>
      </w:r>
      <w:r>
        <w:t xml:space="preserve">the readout from the stored condition outputs (</w:t>
      </w:r>
      <w:r>
        <w:rPr>
          <w:rStyle w:val="VerbatimChar"/>
        </w:rPr>
        <w:t xml:space="preserve">replication/causation/bin_sensitivity.py</w:t>
      </w:r>
      <w:r>
        <w:t xml:space="preserve">,</w:t>
      </w:r>
      <w:r>
        <w:t xml:space="preserve"> </w:t>
      </w:r>
      <w:r>
        <w:t xml:space="preserve">no re-simulation):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B, N=5</w:t>
            </w:r>
          </w:p>
        </w:tc>
        <w:tc>
          <w:tcPr/>
          <w:p>
            <w:pPr>
              <w:pStyle w:val="Compact"/>
            </w:pPr>
            <w:r>
              <w:t xml:space="preserve">B, N=10</w:t>
            </w:r>
          </w:p>
        </w:tc>
        <w:tc>
          <w:tcPr/>
          <w:p>
            <w:pPr>
              <w:pStyle w:val="Compact"/>
            </w:pPr>
            <w:r>
              <w:t xml:space="preserve">B, N=20</w:t>
            </w:r>
          </w:p>
        </w:tc>
        <w:tc>
          <w:tcPr/>
          <w:p>
            <w:pPr>
              <w:pStyle w:val="Compact"/>
            </w:pPr>
            <w:r>
              <w:t xml:space="preserve">C, N=5</w:t>
            </w:r>
          </w:p>
        </w:tc>
        <w:tc>
          <w:tcPr/>
          <w:p>
            <w:pPr>
              <w:pStyle w:val="Compact"/>
            </w:pPr>
            <w:r>
              <w:t xml:space="preserve">C, N=10</w:t>
            </w:r>
          </w:p>
        </w:tc>
        <w:tc>
          <w:tcPr/>
          <w:p>
            <w:pPr>
              <w:pStyle w:val="Compact"/>
            </w:pPr>
            <w:r>
              <w:t xml:space="preserve">C, N=20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severity (P_inj = v_rel) 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0.148</w:t>
            </w:r>
          </w:p>
        </w:tc>
        <w:tc>
          <w:tcPr/>
          <w:p>
            <w:pPr>
              <w:pStyle w:val="Compact"/>
            </w:pPr>
            <w:r>
              <w:t xml:space="preserve">0.241</w:t>
            </w:r>
          </w:p>
        </w:tc>
        <w:tc>
          <w:tcPr/>
          <w:p>
            <w:pPr>
              <w:pStyle w:val="Compact"/>
            </w:pPr>
            <w:r>
              <w:t xml:space="preserve">0.275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0.209</w:t>
            </w:r>
          </w:p>
        </w:tc>
        <w:tc>
          <w:tcPr/>
          <w:p>
            <w:pPr>
              <w:pStyle w:val="Compact"/>
            </w:pPr>
            <w:r>
              <w:t xml:space="preserve">0.255</w:t>
            </w:r>
          </w:p>
        </w:tc>
        <w:tc>
          <w:tcPr/>
          <w:p>
            <w:pPr>
              <w:pStyle w:val="Compact"/>
            </w:pPr>
            <w:r>
              <w:t xml:space="preserve">0.352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severity Θ</w:t>
            </w:r>
          </w:p>
        </w:tc>
        <w:tc>
          <w:tcPr/>
          <w:p>
            <w:pPr>
              <w:pStyle w:val="Compact"/>
            </w:pPr>
            <w:r>
              <w:t xml:space="preserve">0.091</w:t>
            </w:r>
          </w:p>
        </w:tc>
        <w:tc>
          <w:tcPr/>
          <w:p>
            <w:pPr>
              <w:pStyle w:val="Compact"/>
            </w:pPr>
            <w:r>
              <w:t xml:space="preserve">0.091</w:t>
            </w:r>
          </w:p>
        </w:tc>
        <w:tc>
          <w:tcPr/>
          <w:p>
            <w:pPr>
              <w:pStyle w:val="Compact"/>
            </w:pPr>
            <w:r>
              <w:t xml:space="preserve">0.165</w:t>
            </w:r>
          </w:p>
        </w:tc>
        <w:tc>
          <w:tcPr/>
          <w:p>
            <w:pPr>
              <w:pStyle w:val="Compact"/>
            </w:pPr>
            <w:r>
              <w:t xml:space="preserve">0.150</w:t>
            </w:r>
          </w:p>
        </w:tc>
        <w:tc>
          <w:tcPr/>
          <w:p>
            <w:pPr>
              <w:pStyle w:val="Compact"/>
            </w:pPr>
            <w:r>
              <w:t xml:space="preserve">0.150</w:t>
            </w:r>
          </w:p>
        </w:tc>
        <w:tc>
          <w:tcPr/>
          <w:p>
            <w:pPr>
              <w:pStyle w:val="Compact"/>
            </w:pPr>
            <w:r>
              <w:t xml:space="preserve">0.168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t_nr θ</w:t>
            </w:r>
          </w:p>
        </w:tc>
        <w:tc>
          <w:tcPr/>
          <w:p>
            <w:pPr>
              <w:pStyle w:val="Compact"/>
            </w:pPr>
            <w:r>
              <w:t xml:space="preserve">0.419</w:t>
            </w:r>
          </w:p>
        </w:tc>
        <w:tc>
          <w:tcPr/>
          <w:p>
            <w:pPr>
              <w:pStyle w:val="Compact"/>
            </w:pPr>
            <w:r>
              <w:t xml:space="preserve">0.636</w:t>
            </w:r>
          </w:p>
        </w:tc>
        <w:tc>
          <w:tcPr/>
          <w:p>
            <w:pPr>
              <w:pStyle w:val="Compact"/>
            </w:pPr>
            <w:r>
              <w:t xml:space="preserve">0.636</w:t>
            </w:r>
          </w:p>
        </w:tc>
        <w:tc>
          <w:tcPr/>
          <w:p>
            <w:pPr>
              <w:pStyle w:val="Compact"/>
            </w:pPr>
            <w:r>
              <w:t xml:space="preserve">0.460</w:t>
            </w:r>
          </w:p>
        </w:tc>
        <w:tc>
          <w:tcPr/>
          <w:p>
            <w:pPr>
              <w:pStyle w:val="Compact"/>
            </w:pPr>
            <w:r>
              <w:t xml:space="preserve">0.623</w:t>
            </w:r>
          </w:p>
        </w:tc>
        <w:tc>
          <w:tcPr/>
          <w:p>
            <w:pPr>
              <w:pStyle w:val="Compact"/>
            </w:pPr>
            <w:r>
              <w:t xml:space="preserve">0.699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a_l,min θ</w:t>
            </w:r>
          </w:p>
        </w:tc>
        <w:tc>
          <w:tcPr/>
          <w:p>
            <w:pPr>
              <w:pStyle w:val="Compact"/>
            </w:pPr>
            <w:r>
              <w:t xml:space="preserve">0.314</w:t>
            </w:r>
          </w:p>
        </w:tc>
        <w:tc>
          <w:tcPr/>
          <w:p>
            <w:pPr>
              <w:pStyle w:val="Compact"/>
            </w:pPr>
            <w:r>
              <w:t xml:space="preserve">0.314</w:t>
            </w:r>
          </w:p>
        </w:tc>
        <w:tc>
          <w:tcPr/>
          <w:p>
            <w:pPr>
              <w:pStyle w:val="Compact"/>
            </w:pPr>
            <w:r>
              <w:t xml:space="preserve">0.786</w:t>
            </w:r>
          </w:p>
        </w:tc>
        <w:tc>
          <w:tcPr/>
          <w:p>
            <w:pPr>
              <w:pStyle w:val="Compact"/>
            </w:pPr>
            <w:r>
              <w:t xml:space="preserve">0.254</w:t>
            </w:r>
          </w:p>
        </w:tc>
        <w:tc>
          <w:tcPr/>
          <w:p>
            <w:pPr>
              <w:pStyle w:val="Compact"/>
            </w:pPr>
            <w:r>
              <w:t xml:space="preserve">0.254</w:t>
            </w:r>
          </w:p>
        </w:tc>
        <w:tc>
          <w:tcPr/>
          <w:p>
            <w:pPr>
              <w:pStyle w:val="Compact"/>
            </w:pPr>
            <w:r>
              <w:t xml:space="preserve">0.591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a_f,min θ</w:t>
            </w:r>
          </w:p>
        </w:tc>
        <w:tc>
          <w:tcPr/>
          <w:p>
            <w:pPr>
              <w:pStyle w:val="Compact"/>
            </w:pPr>
            <w:r>
              <w:t xml:space="preserve">1.058</w:t>
            </w:r>
          </w:p>
        </w:tc>
        <w:tc>
          <w:tcPr/>
          <w:p>
            <w:pPr>
              <w:pStyle w:val="Compact"/>
            </w:pPr>
            <w:r>
              <w:t xml:space="preserve">3.983</w:t>
            </w:r>
          </w:p>
        </w:tc>
        <w:tc>
          <w:tcPr/>
          <w:p>
            <w:pPr>
              <w:pStyle w:val="Compact"/>
            </w:pPr>
            <w:r>
              <w:t xml:space="preserve">3.983</w:t>
            </w:r>
          </w:p>
        </w:tc>
        <w:tc>
          <w:tcPr/>
          <w:p>
            <w:pPr>
              <w:pStyle w:val="Compact"/>
            </w:pPr>
            <w:r>
              <w:t xml:space="preserve">1.380</w:t>
            </w:r>
          </w:p>
        </w:tc>
        <w:tc>
          <w:tcPr/>
          <w:p>
            <w:pPr>
              <w:pStyle w:val="Compact"/>
            </w:pPr>
            <w:r>
              <w:t xml:space="preserve">2.165</w:t>
            </w:r>
          </w:p>
        </w:tc>
        <w:tc>
          <w:tcPr/>
          <w:p>
            <w:pPr>
              <w:pStyle w:val="Compact"/>
            </w:pPr>
            <w:r>
              <w:t xml:space="preserve">4.456</w:t>
            </w:r>
          </w:p>
        </w:tc>
      </w:tr>
    </w:tbl>
    <w:p>
      <w:pPr>
        <w:pStyle w:val="BodyText"/>
      </w:pPr>
      <w:r>
        <w:t xml:space="preserve">Three readings: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study’s headline survives the bin count.</w:t>
      </w:r>
      <w:r>
        <w:t xml:space="preserve"> </w:t>
      </w:r>
      <w:r>
        <w:t xml:space="preserve">The active-inference condition is closer</w:t>
      </w:r>
      <w:r>
        <w:t xml:space="preserve"> </w:t>
      </w:r>
      <w:r>
        <w:t xml:space="preserve">to the reference than the CBM control on severity at every N (0.148 vs 0.209, 0.241 vs</w:t>
      </w:r>
      <w:r>
        <w:t xml:space="preserve"> </w:t>
      </w:r>
      <w:r>
        <w:t xml:space="preserve">0.255, 0.275 vs 0.352), and on the braking distribution at every N. The ordering is what</w:t>
      </w:r>
      <w:r>
        <w:t xml:space="preserve"> </w:t>
      </w:r>
      <w:r>
        <w:t xml:space="preserve">this study rests on, and it is not an artifact of the coarse binning. The caveat is that</w:t>
      </w:r>
      <w:r>
        <w:t xml:space="preserve"> </w:t>
      </w:r>
      <w:r>
        <w:t xml:space="preserve">at N = 10 and N = 20 the HDIs of the two conditions overlap substantially, so the</w:t>
      </w:r>
      <w:r>
        <w:t xml:space="preserve"> </w:t>
      </w:r>
      <w:r>
        <w:t xml:space="preserve">ordering is consistent in point estimates without being statistically separated there.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Absolute distances grow with N</w:t>
      </w:r>
      <w:r>
        <w:t xml:space="preserve">, roughly doubling for severity between N = 5 and</w:t>
      </w:r>
      <w:r>
        <w:t xml:space="preserve"> </w:t>
      </w:r>
      <w:r>
        <w:t xml:space="preserve">N = 20. Any absolute claim must state its bin count.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 = 20 is prescribed but unusable at this reference size.</w:t>
      </w:r>
      <w:r>
        <w:t xml:space="preserve"> </w:t>
      </w:r>
      <w:r>
        <w:t xml:space="preserve">A model that is exactly</w:t>
      </w:r>
      <w:r>
        <w:t xml:space="preserve"> </w:t>
      </w:r>
      <w:r>
        <w:t xml:space="preserve">right has median θ = 0.129 with a 95% HDI upper bound of 0.266 at N = 20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docs/equivalence_rope_note.md</w:t>
      </w:r>
      <w:r>
        <w:t xml:space="preserve"> </w:t>
      </w:r>
      <w:r>
        <w:t xml:space="preserve">§2.1), so nothing can pass a ROPE of 0.10 there. The</w:t>
      </w:r>
      <w:r>
        <w:t xml:space="preserve"> </w:t>
      </w:r>
      <w:r>
        <w:t xml:space="preserve">bin rule and the ROPE threshold are jointly infeasible at n_ref = 5 000 under the</w:t>
      </w:r>
      <w:r>
        <w:t xml:space="preserve"> </w:t>
      </w:r>
      <w:r>
        <w:t xml:space="preserve">decision rule used here. Section 5 of that note proposes what to change.</w:t>
      </w:r>
    </w:p>
    <w:p>
      <w:pPr>
        <w:pStyle w:val="FirstParagraph"/>
      </w:pPr>
      <w:r>
        <w:t xml:space="preserve">Two incidental corrections to assumptions made when this readout was built. Θ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bin-count invariant — it is a lower bound on twice the total-variation distance that becomes</w:t>
      </w:r>
      <w:r>
        <w:t xml:space="preserve"> </w:t>
      </w:r>
      <w:r>
        <w:t xml:space="preserve">exact only as the partition refines, so it grows with N. Further, θ is a maximum over bins</w:t>
      </w:r>
      <w:r>
        <w:t xml:space="preserve"> </w:t>
      </w:r>
      <w:r>
        <w:t xml:space="preserve">and is therefore</w:t>
      </w:r>
      <w:r>
        <w:t xml:space="preserve"> </w:t>
      </w:r>
      <w:r>
        <w:rPr>
          <w:b/>
          <w:bCs/>
        </w:rPr>
        <w:t xml:space="preserve">biased upward under resampling</w:t>
      </w:r>
      <w:r>
        <w:t xml:space="preserve">; under the cases resampling at N = 20,</w:t>
      </w:r>
      <w:r>
        <w:t xml:space="preserve"> </w:t>
      </w:r>
      <w:r>
        <w:t xml:space="preserve">condition B’s bootstrap HDI [0.347, 0.773] does not contain its own point estimate of</w:t>
      </w:r>
      <w:r>
        <w:t xml:space="preserve"> </w:t>
      </w:r>
      <w:r>
        <w:t xml:space="preserve">0.275.</w:t>
      </w:r>
      <w:r>
        <w:t xml:space="preserve"> </w:t>
      </w:r>
      <w:r>
        <w:rPr>
          <w:i/>
          <w:iCs/>
        </w:rPr>
        <w:t xml:space="preserve">(Corrected 2026-08-27: the first version quoted [0.275, 0.552] from an</w:t>
      </w:r>
      <w:r>
        <w:rPr>
          <w:i/>
          <w:iCs/>
        </w:rPr>
        <w:t xml:space="preserve"> </w:t>
      </w:r>
      <w:r>
        <w:rPr>
          <w:i/>
          <w:iCs/>
        </w:rPr>
        <w:t xml:space="preserve">intermediate run. Under the settled population convention the regenerated N = 20 HDI is</w:t>
      </w:r>
      <w:r>
        <w:rPr>
          <w:i/>
          <w:iCs/>
        </w:rPr>
        <w:t xml:space="preserve"> </w:t>
      </w:r>
      <w:r>
        <w:rPr>
          <w:i/>
          <w:iCs/>
        </w:rPr>
        <w:t xml:space="preserve">[0.263, 0.389], which does contain the point estimate — the bias is driven by reference</w:t>
      </w:r>
      <w:r>
        <w:rPr>
          <w:i/>
          <w:iCs/>
        </w:rPr>
        <w:t xml:space="preserve"> </w:t>
      </w:r>
      <w:r>
        <w:rPr>
          <w:i/>
          <w:iCs/>
        </w:rPr>
        <w:t xml:space="preserve">resampling and is mild when only the synthetic side is resampled. The stored sweep,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summary_bin_sensitivity_fullp_abn.md</w:t>
      </w:r>
      <w:r>
        <w:rPr>
          <w:i/>
          <w:iCs/>
        </w:rPr>
        <w:t xml:space="preserve">, is now generated under the population convention.)</w:t>
      </w:r>
      <w:r>
        <w:t xml:space="preserve"> </w:t>
      </w:r>
      <w:r>
        <w:t xml:space="preserve">Both effects make the</w:t>
      </w:r>
      <w:r>
        <w:t xml:space="preserve"> </w:t>
      </w:r>
      <w:r>
        <w:t xml:space="preserve">“HDI upper bound inside the ROPE”</w:t>
      </w:r>
      <w:r>
        <w:t xml:space="preserve"> </w:t>
      </w:r>
      <w:r>
        <w:t xml:space="preserve">rule more conservative at fine bin</w:t>
      </w:r>
      <w:r>
        <w:t xml:space="preserve"> </w:t>
      </w:r>
      <w:r>
        <w:t xml:space="preserve">counts than it looks.</w:t>
      </w:r>
    </w:p>
    <w:bookmarkEnd w:id="24"/>
    <w:bookmarkStart w:id="25" w:name="X92f7094027f1ad7e97b779924447ba6ed2a0fa2"/>
    <w:p>
      <w:pPr>
        <w:pStyle w:val="Heading3"/>
      </w:pPr>
      <w:r>
        <w:t xml:space="preserve">The sensitivity ladder (100-seed sample, kept as method history)</w:t>
      </w:r>
    </w:p>
    <w:p>
      <w:pPr>
        <w:pStyle w:val="FirstParagraph"/>
      </w:pPr>
      <w:r>
        <w:t xml:space="preserve">No configuration reaches practical equivalence (ROPE 0.10 for θ; full tables in</w:t>
      </w:r>
      <w:r>
        <w:t xml:space="preserve"> </w:t>
      </w:r>
      <w:r>
        <w:rPr>
          <w:rStyle w:val="VerbatimChar"/>
        </w:rPr>
        <w:t xml:space="preserve">replication/causation/out/summary_nb*.md</w:t>
      </w:r>
      <w:r>
        <w:t xml:space="preserve">), but the distance now has a visible</w:t>
      </w:r>
      <w:r>
        <w:t xml:space="preserve"> </w:t>
      </w:r>
      <w:r>
        <w:t xml:space="preserve">structure. Headline θ for P_inj (= relative impact speed; the two give identical bins),</w:t>
      </w:r>
      <w:r>
        <w:t xml:space="preserve"> </w:t>
      </w:r>
      <w:r>
        <w:t xml:space="preserve">Eq. 10 weights, 95% bootstrap HDIs: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P_inj θ</w:t>
            </w:r>
          </w:p>
        </w:tc>
        <w:tc>
          <w:tcPr/>
          <w:p>
            <w:pPr>
              <w:pStyle w:val="Compact"/>
            </w:pPr>
            <w:r>
              <w:t xml:space="preserve">t_nr θ</w:t>
            </w:r>
          </w:p>
        </w:tc>
        <w:tc>
          <w:tcPr/>
          <w:p>
            <w:pPr>
              <w:pStyle w:val="Compact"/>
            </w:pPr>
            <w:r>
              <w:t xml:space="preserve">a_f,min θ</w:t>
            </w:r>
          </w:p>
        </w:tc>
      </w:tr>
      <w:tr>
        <w:tc>
          <w:tcPr/>
          <w:p>
            <w:pPr>
              <w:pStyle w:val="Compact"/>
            </w:pPr>
            <w:r>
              <w:t xml:space="preserve">B, embedded-evasive counterfactual (superseded)</w:t>
            </w:r>
          </w:p>
        </w:tc>
        <w:tc>
          <w:tcPr/>
          <w:p>
            <w:pPr>
              <w:pStyle w:val="Compact"/>
            </w:pPr>
            <w:r>
              <w:t xml:space="preserve">1.44</w:t>
            </w:r>
          </w:p>
        </w:tc>
        <w:tc>
          <w:tcPr/>
          <w:p>
            <w:pPr>
              <w:pStyle w:val="Compact"/>
            </w:pPr>
            <w:r>
              <w:t xml:space="preserve">0.66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B, no-brake counterfactual, anchored glances</w:t>
            </w:r>
          </w:p>
        </w:tc>
        <w:tc>
          <w:tcPr/>
          <w:p>
            <w:pPr>
              <w:pStyle w:val="Compact"/>
            </w:pPr>
            <w:r>
              <w:t xml:space="preserve">0.87 [0.82, 0.99]</w:t>
            </w:r>
          </w:p>
        </w:tc>
        <w:tc>
          <w:tcPr/>
          <w:p>
            <w:pPr>
              <w:pStyle w:val="Compact"/>
            </w:pPr>
            <w:r>
              <w:t xml:space="preserve">0.40</w:t>
            </w:r>
          </w:p>
        </w:tc>
        <w:tc>
          <w:tcPr/>
          <w:p>
            <w:pPr>
              <w:pStyle w:val="Compact"/>
            </w:pPr>
            <w:r>
              <w:t xml:space="preserve">1.04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B, + process glances (primary)</w:t>
            </w:r>
          </w:p>
        </w:tc>
        <w:tc>
          <w:tcPr/>
          <w:p>
            <w:pPr>
              <w:pStyle w:val="Compact"/>
            </w:pPr>
            <w:r>
              <w:t xml:space="preserve">0.61 [0.55, 0.76]</w:t>
            </w:r>
          </w:p>
        </w:tc>
        <w:tc>
          <w:tcPr/>
          <w:p>
            <w:pPr>
              <w:pStyle w:val="Compact"/>
            </w:pPr>
            <w:r>
              <w:t xml:space="preserve">0.41</w:t>
            </w:r>
          </w:p>
        </w:tc>
        <w:tc>
          <w:tcPr/>
          <w:p>
            <w:pPr>
              <w:pStyle w:val="Compact"/>
            </w:pPr>
            <w:r>
              <w:t xml:space="preserve">1.18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B, + abnormal acceleration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0.46 [0.41, 0.60]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0.30</w:t>
            </w:r>
          </w:p>
        </w:tc>
        <w:tc>
          <w:tcPr/>
          <w:p>
            <w:pPr>
              <w:pStyle w:val="Compact"/>
            </w:pPr>
            <w:r>
              <w:t xml:space="preserve">1.37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B, process, stationary accumulator</w:t>
            </w:r>
          </w:p>
        </w:tc>
        <w:tc>
          <w:tcPr/>
          <w:p>
            <w:pPr>
              <w:pStyle w:val="Compact"/>
            </w:pPr>
            <w:r>
              <w:t xml:space="preserve">0.42 [0.29, 0.52]</w:t>
            </w:r>
          </w:p>
        </w:tc>
        <w:tc>
          <w:tcPr/>
          <w:p>
            <w:pPr>
              <w:pStyle w:val="Compact"/>
            </w:pPr>
            <w:r>
              <w:t xml:space="preserve">0.39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C, no-brake, anchored (CBM-native)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0.40 [0.36, 0.46]</w:t>
            </w:r>
          </w:p>
        </w:tc>
        <w:tc>
          <w:tcPr/>
          <w:p>
            <w:pPr>
              <w:pStyle w:val="Compact"/>
            </w:pPr>
            <w:r>
              <w:t xml:space="preserve">0.41</w:t>
            </w:r>
          </w:p>
        </w:tc>
        <w:tc>
          <w:tcPr/>
          <w:p>
            <w:pPr>
              <w:pStyle w:val="Compact"/>
            </w:pPr>
            <w:r>
              <w:t xml:space="preserve">1.81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C, + process glances</w:t>
            </w:r>
          </w:p>
        </w:tc>
        <w:tc>
          <w:tcPr/>
          <w:p>
            <w:pPr>
              <w:pStyle w:val="Compact"/>
            </w:pPr>
            <w:r>
              <w:t xml:space="preserve">0.63 [0.44, 0.74]</w:t>
            </w:r>
          </w:p>
        </w:tc>
        <w:tc>
          <w:tcPr/>
          <w:p>
            <w:pPr>
              <w:pStyle w:val="Compact"/>
            </w:pPr>
            <w:r>
              <w:t xml:space="preserve">0.51</w:t>
            </w:r>
          </w:p>
        </w:tc>
        <w:tc>
          <w:tcPr/>
          <w:p>
            <w:pPr>
              <w:pStyle w:val="Compact"/>
            </w:pPr>
            <w:r>
              <w:t xml:space="preserve">1.61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C, + abnormal acceleration</w:t>
            </w:r>
          </w:p>
        </w:tc>
        <w:tc>
          <w:tcPr/>
          <w:p>
            <w:pPr>
              <w:pStyle w:val="Compact"/>
            </w:pPr>
            <w:r>
              <w:t xml:space="preserve">0.59 [0.42, 0.71]</w:t>
            </w:r>
          </w:p>
        </w:tc>
        <w:tc>
          <w:tcPr/>
          <w:p>
            <w:pPr>
              <w:pStyle w:val="Compact"/>
            </w:pPr>
            <w:r>
              <w:t xml:space="preserve">0.45</w:t>
            </w:r>
          </w:p>
        </w:tc>
        <w:tc>
          <w:tcPr/>
          <w:p>
            <w:pPr>
              <w:pStyle w:val="Compact"/>
            </w:pPr>
            <w:r>
              <w:t xml:space="preserve">1.35</w:t>
            </w:r>
          </w:p>
        </w:tc>
      </w:tr>
    </w:tbl>
    <w:p>
      <w:pPr>
        <w:pStyle w:val="BodyText"/>
      </w:pPr>
      <w:r>
        <w:t xml:space="preserve">Readings: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Each methodological correction moved condition B toward the reference</w:t>
      </w:r>
      <w:r>
        <w:t xml:space="preserve">: removing the</w:t>
      </w:r>
      <w:r>
        <w:t xml:space="preserve"> </w:t>
      </w:r>
      <w:r>
        <w:t xml:space="preserve">embedded evasive action (1.44 → 0.87), placing glances as a process (→ 0.61), adding</w:t>
      </w:r>
      <w:r>
        <w:t xml:space="preserve"> </w:t>
      </w:r>
      <w:r>
        <w:t xml:space="preserve">the abnormal-acceleration component (→ 0.46). The remaining distance is dominated by</w:t>
      </w:r>
      <w:r>
        <w:t xml:space="preserve"> </w:t>
      </w:r>
      <w:r>
        <w:t xml:space="preserve">the over-produced mildest-severity bin.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best active-inference configurations now sit at the CBM control’s level</w:t>
      </w:r>
      <w:r>
        <w:t xml:space="preserve"> </w:t>
      </w:r>
      <w:r>
        <w:t xml:space="preserve">(θ ≈ 0.4–0.5 for both) — the response-model gap visible in the first analysis was</w:t>
      </w:r>
      <w:r>
        <w:t xml:space="preserve"> </w:t>
      </w:r>
      <w:r>
        <w:t xml:space="preserve">largely an artifact of the embedded evasive action and the anchor-locked glances.</w:t>
      </w:r>
      <w:r>
        <w:t xml:space="preserve"> </w:t>
      </w:r>
      <w:r>
        <w:t xml:space="preserve">What still separates the two models is</w:t>
      </w:r>
      <w:r>
        <w:t xml:space="preserve"> </w:t>
      </w:r>
      <w:r>
        <w:rPr>
          <w:i/>
          <w:iCs/>
        </w:rPr>
        <w:t xml:space="preserve">where</w:t>
      </w:r>
      <w:r>
        <w:t xml:space="preserve"> </w:t>
      </w:r>
      <w:r>
        <w:t xml:space="preserve">they miss: B misses on mild crashes,</w:t>
      </w:r>
      <w:r>
        <w:t xml:space="preserve"> </w:t>
      </w:r>
      <w:r>
        <w:t xml:space="preserve">C on moderate ones and on the braking distribution (a_f,min θ 1.4–1.8 versus B’s</w:t>
      </w:r>
      <w:r>
        <w:t xml:space="preserve"> </w:t>
      </w:r>
      <w:r>
        <w:t xml:space="preserve">1.0–1.4).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abnormal-acceleration component works as intended</w:t>
      </w:r>
      <w:r>
        <w:t xml:space="preserve">: it restores the reference’s</w:t>
      </w:r>
      <w:r>
        <w:t xml:space="preserve"> </w:t>
      </w:r>
      <w:r>
        <w:t xml:space="preserve">mean injury risk exactly for B (0.0063 vs 0.0062) by adding the harder, non-braking</w:t>
      </w:r>
      <w:r>
        <w:t xml:space="preserve"> </w:t>
      </w:r>
      <w:r>
        <w:t xml:space="preserve">crashes the four [B24] mechanisms cannot produce. Its cost is a slight overshoot for C.</w:t>
      </w:r>
    </w:p>
    <w:bookmarkEnd w:id="25"/>
    <w:bookmarkStart w:id="26" w:name="the-counterfactual-rule-barely-matters"/>
    <w:p>
      <w:pPr>
        <w:pStyle w:val="Heading3"/>
      </w:pPr>
      <w:r>
        <w:t xml:space="preserve">4.5 The counterfactual rule barely matters</w:t>
      </w:r>
    </w:p>
    <w:p>
      <w:pPr>
        <w:pStyle w:val="FirstParagraph"/>
      </w:pPr>
      <w:r>
        <w:t xml:space="preserve">Clamping the follower’s braking from t = 0 instead of from the lead’s onset changes B’s</w:t>
      </w:r>
      <w:r>
        <w:t xml:space="preserve"> </w:t>
      </w:r>
      <w:r>
        <w:t xml:space="preserve">P_inj θ from 0.87 to 0.82 and C’s from 0.400 to 0.396 (anchored glances) — the choice of</w:t>
      </w:r>
      <w:r>
        <w:t xml:space="preserve"> </w:t>
      </w:r>
      <w:r>
        <w:t xml:space="preserve">clamp rule is not a consequential degree of freedom.</w:t>
      </w:r>
    </w:p>
    <w:bookmarkEnd w:id="26"/>
    <w:bookmarkStart w:id="27" w:name="X4c1f58aa0629de7aca063025ceef95dd2894c57"/>
    <w:p>
      <w:pPr>
        <w:pStyle w:val="Heading3"/>
      </w:pPr>
      <w:r>
        <w:t xml:space="preserve">4.6 What the process placement buys, against its cost</w:t>
      </w:r>
    </w:p>
    <w:p>
      <w:pPr>
        <w:pStyle w:val="FirstParagraph"/>
      </w:pPr>
      <w:r>
        <w:t xml:space="preserve">For the</w:t>
      </w:r>
      <w:r>
        <w:t xml:space="preserve"> </w:t>
      </w:r>
      <w:r>
        <w:rPr>
          <w:b/>
          <w:bCs/>
        </w:rPr>
        <w:t xml:space="preserve">active-inference</w:t>
      </w:r>
      <w:r>
        <w:t xml:space="preserve"> </w:t>
      </w:r>
      <w:r>
        <w:t xml:space="preserve">response, process glances improve severity equivalence</w:t>
      </w:r>
      <w:r>
        <w:t xml:space="preserve"> </w:t>
      </w:r>
      <w:r>
        <w:t xml:space="preserve">substantially (P_inj θ 0.87 → 0.61) besides being theoretically required (the anchored</w:t>
      </w:r>
      <w:r>
        <w:t xml:space="preserve"> </w:t>
      </w:r>
      <w:r>
        <w:t xml:space="preserve">construction assumes the response cannot depend on pre-anchor glance history, which is</w:t>
      </w:r>
      <w:r>
        <w:t xml:space="preserve"> </w:t>
      </w:r>
      <w:r>
        <w:t xml:space="preserve">false for an accumulator). For the</w:t>
      </w:r>
      <w:r>
        <w:t xml:space="preserve"> </w:t>
      </w:r>
      <w:r>
        <w:rPr>
          <w:b/>
          <w:bCs/>
        </w:rPr>
        <w:t xml:space="preserve">CBM</w:t>
      </w:r>
      <w:r>
        <w:t xml:space="preserve">, the anchored construction — which is exactly</w:t>
      </w:r>
      <w:r>
        <w:t xml:space="preserve"> </w:t>
      </w:r>
      <w:r>
        <w:t xml:space="preserve">Markkula’s shortcut for a fixed-delay responder — performs</w:t>
      </w:r>
      <w:r>
        <w:t xml:space="preserve"> </w:t>
      </w:r>
      <w:r>
        <w:rPr>
          <w:i/>
          <w:iCs/>
        </w:rPr>
        <w:t xml:space="preserve">better</w:t>
      </w:r>
      <w:r>
        <w:t xml:space="preserve"> </w:t>
      </w:r>
      <w:r>
        <w:t xml:space="preserve">than the process</w:t>
      </w:r>
      <w:r>
        <w:t xml:space="preserve"> </w:t>
      </w:r>
      <w:r>
        <w:t xml:space="preserve">variant (0.40 vs 0.63), partly because the process run’s smaller crash-record count</w:t>
      </w:r>
      <w:r>
        <w:t xml:space="preserve"> </w:t>
      </w:r>
      <w:r>
        <w:t xml:space="preserve">(2 076 vs 11 587) widens its uncertainty. Cost: 50 draws per seed versus ~12 bins,</w:t>
      </w:r>
      <w:r>
        <w:t xml:space="preserve"> </w:t>
      </w:r>
      <w:r>
        <w:t xml:space="preserve">minutes either way at tier 1. Conclusion: process placement for active inference,</w:t>
      </w:r>
      <w:r>
        <w:t xml:space="preserve"> </w:t>
      </w:r>
      <w:r>
        <w:t xml:space="preserve">anchored placement for the CBM, each on its own merits; the 50-draw budget is marked for</w:t>
      </w:r>
      <w:r>
        <w:t xml:space="preserve"> </w:t>
      </w:r>
      <w:r>
        <w:t xml:space="preserve">a later increase, which mainly tightens the process runs’ HDIs.</w:t>
      </w:r>
    </w:p>
    <w:bookmarkEnd w:id="27"/>
    <w:bookmarkEnd w:id="28"/>
    <w:bookmarkStart w:id="32" w:name="response-timing"/>
    <w:p>
      <w:pPr>
        <w:pStyle w:val="Heading2"/>
      </w:pPr>
      <w:r>
        <w:t xml:space="preserve">5 Response timing</w:t>
      </w:r>
    </w:p>
    <w:p>
      <w:pPr>
        <w:pStyle w:val="CaptionedFigure"/>
      </w:pPr>
      <w:r>
        <w:drawing>
          <wp:inline>
            <wp:extent cx="4222781" cy="2389386"/>
            <wp:effectExtent b="0" l="0" r="0" t="0"/>
            <wp:docPr descr="Attentive brake onsets relative to the anchor" title="" id="30" name="Picture"/>
            <a:graphic>
              <a:graphicData uri="http://schemas.openxmlformats.org/drawingml/2006/picture">
                <pic:pic>
                  <pic:nvPicPr>
                    <pic:cNvPr descr="causation_figures/fig_timing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81" cy="2389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Attentive brake onsets relative to the anchor</w:t>
      </w:r>
    </w:p>
    <w:p>
      <w:pPr>
        <w:pStyle w:val="BodyText"/>
      </w:pPr>
      <w:r>
        <w:t xml:space="preserve">Attentive onsets: active inference median 1.25 s after the anchor (IQR 0.50–1.75 s),</w:t>
      </w:r>
      <w:r>
        <w:t xml:space="preserve"> </w:t>
      </w:r>
      <w:r>
        <w:t xml:space="preserve">CBM fixed at 0.50 s. Ten of 100 seeds respond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anchor — all within 0.45 s of</w:t>
      </w:r>
      <w:r>
        <w:t xml:space="preserve"> </w:t>
      </w:r>
      <w:r>
        <w:t xml:space="preserve">it, all after the lead’s braking onset, concentrated at short initial headways — so the</w:t>
      </w:r>
      <w:r>
        <w:t xml:space="preserve"> </w:t>
      </w:r>
      <w:r>
        <w:t xml:space="preserve">active-inference model treats the anchor as nothing special, responding to sub-threshold</w:t>
      </w:r>
      <w:r>
        <w:t xml:space="preserve"> </w:t>
      </w:r>
      <w:r>
        <w:t xml:space="preserve">looming when the gap is short.</w:t>
      </w:r>
    </w:p>
    <w:p>
      <w:pPr>
        <w:pStyle w:val="BodyText"/>
      </w:pPr>
      <w:r>
        <w:rPr>
          <w:b/>
          <w:bCs/>
        </w:rPr>
        <w:t xml:space="preserve">The arbiter verdict (2026-08-25).</w:t>
      </w:r>
      <w:r>
        <w:t xml:space="preserve"> </w:t>
      </w:r>
      <w:r>
        <w:t xml:space="preserve">The response-timing claim was initially bracketed</w:t>
      </w:r>
      <w:r>
        <w:t xml:space="preserve"> </w:t>
      </w:r>
      <w:r>
        <w:t xml:space="preserve">by the accumulator’s starting convention: zero start (the paper’s) versus a</w:t>
      </w:r>
      <w:r>
        <w:t xml:space="preserve"> </w:t>
      </w:r>
      <w:r>
        <w:t xml:space="preserve">“stationary”</w:t>
      </w:r>
      <w:r>
        <w:t xml:space="preserve"> </w:t>
      </w:r>
      <w:r>
        <w:t xml:space="preserve">half-threshold start representing a driver arriving mid-cycle from long steady following;</w:t>
      </w:r>
      <w:r>
        <w:t xml:space="preserve"> </w:t>
      </w:r>
      <w:r>
        <w:t xml:space="preserve">crash probability 0.023 versus 0.004. The tier-2 arbiter run — the full closed-loop model</w:t>
      </w:r>
      <w:r>
        <w:t xml:space="preserve"> </w:t>
      </w:r>
      <w:r>
        <w:t xml:space="preserve">on 23 seeds spanning 1.3–35.5 m/s, four repeats each, lead profiles replayed</w:t>
      </w:r>
      <w:r>
        <w:t xml:space="preserve"> </w:t>
      </w:r>
      <w:r>
        <w:t xml:space="preserve">(</w:t>
      </w:r>
      <w:r>
        <w:rPr>
          <w:rStyle w:val="VerbatimChar"/>
        </w:rPr>
        <w:t xml:space="preserve">replication/causation/tier2/arbiter_comparison.csv</w:t>
      </w:r>
      <w:r>
        <w:t xml:space="preserve">) — settles it: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comparison (attentive onsets, n = 24 seeds)</w:t>
            </w:r>
          </w:p>
        </w:tc>
        <w:tc>
          <w:tcPr/>
          <w:p>
            <w:pPr>
              <w:pStyle w:val="Compact"/>
            </w:pPr>
            <w:r>
              <w:t xml:space="preserve">median difference</w:t>
            </w:r>
          </w:p>
        </w:tc>
        <w:tc>
          <w:tcPr/>
          <w:p>
            <w:pPr>
              <w:pStyle w:val="Compact"/>
            </w:pPr>
            <w:r>
              <w:t xml:space="preserve">median |difference|</w:t>
            </w:r>
          </w:p>
        </w:tc>
        <w:tc>
          <w:tcPr/>
          <w:p>
            <w:pPr>
              <w:pStyle w:val="Compact"/>
            </w:pPr>
            <w:r>
              <w:t xml:space="preserve">closer 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closed loop − tier-1 zero start</w:t>
            </w:r>
          </w:p>
        </w:tc>
        <w:tc>
          <w:tcPr/>
          <w:p>
            <w:pPr>
              <w:pStyle w:val="Compact"/>
            </w:pPr>
            <w:r>
              <w:t xml:space="preserve">+0.42 s</w:t>
            </w:r>
          </w:p>
        </w:tc>
        <w:tc>
          <w:tcPr/>
          <w:p>
            <w:pPr>
              <w:pStyle w:val="Compact"/>
            </w:pPr>
            <w:r>
              <w:t xml:space="preserve">0.55 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20/24 seeds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closed loop − tier-1 stationary start</w:t>
            </w:r>
          </w:p>
        </w:tc>
        <w:tc>
          <w:tcPr/>
          <w:p>
            <w:pPr>
              <w:pStyle w:val="Compact"/>
            </w:pPr>
            <w:r>
              <w:t xml:space="preserve">+1.03 s</w:t>
            </w:r>
          </w:p>
        </w:tc>
        <w:tc>
          <w:tcPr/>
          <w:p>
            <w:pPr>
              <w:pStyle w:val="Compact"/>
            </w:pPr>
            <w:r>
              <w:t xml:space="preserve">1.08 s</w:t>
            </w:r>
          </w:p>
        </w:tc>
        <w:tc>
          <w:tcPr/>
          <w:p>
            <w:pPr>
              <w:pStyle w:val="Compact"/>
            </w:pPr>
            <w:r>
              <w:t xml:space="preserve">4/24 seeds</w:t>
            </w:r>
          </w:p>
        </w:tc>
      </w:tr>
    </w:tbl>
    <w:p>
      <w:pPr>
        <w:pStyle w:val="BodyText"/>
      </w:pPr>
      <w:r>
        <w:t xml:space="preserve">The closed loop behaves like the zero start — if anything it responds slightly</w:t>
      </w:r>
      <w:r>
        <w:t xml:space="preserve"> </w:t>
      </w:r>
      <w:r>
        <w:rPr>
          <w:i/>
          <w:iCs/>
        </w:rPr>
        <w:t xml:space="preserve">later</w:t>
      </w:r>
      <w:r>
        <w:t xml:space="preserve"> </w:t>
      </w:r>
      <w:r>
        <w:t xml:space="preserve">than the zero-start surrogate, so the stationary correction points the wrong way. The</w:t>
      </w:r>
      <w:r>
        <w:t xml:space="preserve"> </w:t>
      </w:r>
      <w:r>
        <w:t xml:space="preserve">scope of the verdict should be stated precisely: it validates the zero start</w:t>
      </w:r>
      <w:r>
        <w:t xml:space="preserve"> </w:t>
      </w:r>
      <w:r>
        <w:rPr>
          <w:i/>
          <w:iCs/>
        </w:rPr>
        <w:t xml:space="preserve">for this</w:t>
      </w:r>
      <w:r>
        <w:rPr>
          <w:i/>
          <w:iCs/>
        </w:rPr>
        <w:t xml:space="preserve"> </w:t>
      </w:r>
      <w:r>
        <w:rPr>
          <w:i/>
          <w:iCs/>
        </w:rPr>
        <w:t xml:space="preserve">study’s design</w:t>
      </w:r>
      <w:r>
        <w:t xml:space="preserve">, in which simulation windows open a few seconds before the conflict at</w:t>
      </w:r>
      <w:r>
        <w:t xml:space="preserve"> </w:t>
      </w:r>
      <w:r>
        <w:t xml:space="preserve">mostly comfortable headways, so the closed loop’s benign drift accumulates little before</w:t>
      </w:r>
      <w:r>
        <w:t xml:space="preserve"> </w:t>
      </w:r>
      <w:r>
        <w:t xml:space="preserve">the event. What a driver carries after minutes of continuous short-gap following is a</w:t>
      </w:r>
      <w:r>
        <w:t xml:space="preserve"> </w:t>
      </w:r>
      <w:r>
        <w:t xml:space="preserve">question neither tier answers, because both open their windows near the conflict; within</w:t>
      </w:r>
      <w:r>
        <w:t xml:space="preserve"> </w:t>
      </w:r>
      <w:r>
        <w:t xml:space="preserve">this design it is a non-issue by construction. Consequently the zero-start results are</w:t>
      </w:r>
      <w:r>
        <w:t xml:space="preserve"> </w:t>
      </w:r>
      <w:r>
        <w:t xml:space="preserve">the study’s results, and the conclusion stands:</w:t>
      </w:r>
      <w:r>
        <w:t xml:space="preserve"> </w:t>
      </w:r>
      <w:r>
        <w:rPr>
          <w:b/>
          <w:bCs/>
        </w:rPr>
        <w:t xml:space="preserve">the active-inference response is slower</w:t>
      </w:r>
      <w:r>
        <w:rPr>
          <w:b/>
          <w:bCs/>
        </w:rPr>
        <w:t xml:space="preserve"> </w:t>
      </w:r>
      <w:r>
        <w:rPr>
          <w:b/>
          <w:bCs/>
        </w:rPr>
        <w:t xml:space="preserve">and more variable than the CBM’s fixed rule</w:t>
      </w:r>
      <w:r>
        <w:t xml:space="preserve"> </w:t>
      </w:r>
      <w:r>
        <w:t xml:space="preserve">— confirmed, not contradicted, by the</w:t>
      </w:r>
      <w:r>
        <w:t xml:space="preserve"> </w:t>
      </w:r>
      <w:r>
        <w:t xml:space="preserve">closed loop.</w:t>
      </w:r>
    </w:p>
    <w:p>
      <w:pPr>
        <w:pStyle w:val="BodyText"/>
      </w:pPr>
      <w:r>
        <w:t xml:space="preserve">A deliberate non-action: the +0.30 s median offset between the closed loop and the</w:t>
      </w:r>
      <w:r>
        <w:t xml:space="preserve"> </w:t>
      </w:r>
      <w:r>
        <w:t xml:space="preserve">surrogate could be folded into the surrogate as a calibration correction. We do not do</w:t>
      </w:r>
      <w:r>
        <w:t xml:space="preserve"> </w:t>
      </w:r>
      <w:r>
        <w:t xml:space="preserve">this. Twenty-three seeds are a thin base to fit on, the offset is well inside the</w:t>
      </w:r>
      <w:r>
        <w:t xml:space="preserve"> </w:t>
      </w:r>
      <w:r>
        <w:t xml:space="preserve">response-time dispersion the study is about, and an</w:t>
      </w:r>
      <w:r>
        <w:t xml:space="preserve"> </w:t>
      </w:r>
      <w:r>
        <w:rPr>
          <w:i/>
          <w:iCs/>
        </w:rPr>
        <w:t xml:space="preserve">untuned</w:t>
      </w:r>
      <w:r>
        <w:t xml:space="preserve"> </w:t>
      </w:r>
      <w:r>
        <w:t xml:space="preserve">surrogate landing within</w:t>
      </w:r>
      <w:r>
        <w:t xml:space="preserve"> </w:t>
      </w:r>
      <w:r>
        <w:t xml:space="preserve">0.55 s median absolute difference is a stronger validation statement than a tuned one</w:t>
      </w:r>
      <w:r>
        <w:t xml:space="preserve"> </w:t>
      </w:r>
      <w:r>
        <w:t xml:space="preserve">landing on zero [Opinion].</w:t>
      </w:r>
    </w:p>
    <w:bookmarkEnd w:id="32"/>
    <w:bookmarkStart w:id="33" w:name="Xe0815f8e51273c4fe241c83f0838e01502f2476"/>
    <w:p>
      <w:pPr>
        <w:pStyle w:val="Heading2"/>
      </w:pPr>
      <w:r>
        <w:t xml:space="preserve">6 The closed loop is not the CBM with extra steps: the glance-gate finding</w:t>
      </w:r>
    </w:p>
    <w:p>
      <w:pPr>
        <w:pStyle w:val="FirstParagraph"/>
      </w:pPr>
      <w:r>
        <w:t xml:space="preserve">The tier-2 adapter (plan §11.4) runs the authors’ full closed-loop model on QUADRIS</w:t>
      </w:r>
      <w:r>
        <w:t xml:space="preserve"> </w:t>
      </w:r>
      <w:r>
        <w:t xml:space="preserve">seeds with the lead replaced by a replay of the seed’s speed profile, and can force</w:t>
      </w:r>
      <w:r>
        <w:t xml:space="preserve"> </w:t>
      </w:r>
      <w:r>
        <w:t xml:space="preserve">off-road glances through the code’s own observation gate (</w:t>
      </w:r>
      <w:r>
        <w:rPr>
          <w:rStyle w:val="VerbatimChar"/>
        </w:rPr>
        <w:t xml:space="preserve">I_factor</w:t>
      </w:r>
      <w:r>
        <w:t xml:space="preserve">, the mechanism of</w:t>
      </w:r>
      <w:r>
        <w:t xml:space="preserve"> </w:t>
      </w:r>
      <w:r>
        <w:t xml:space="preserve">the Engström et al. 2024 visual time-sharing model).</w:t>
      </w:r>
    </w:p>
    <w:p>
      <w:pPr>
        <w:pStyle w:val="BodyText"/>
      </w:pPr>
      <w:r>
        <w:rPr>
          <w:b/>
          <w:bCs/>
        </w:rPr>
        <w:t xml:space="preserve">Forcing a 1.0–3.0 s off-road glance during the conflict did not delay the response.</w:t>
      </w:r>
      <w:r>
        <w:t xml:space="preserve"> </w:t>
      </w:r>
      <w:r>
        <w:t xml:space="preserve">On the test seed the driver braked at 2.4–2.6 s — inside the glance — both under the</w:t>
      </w:r>
      <w:r>
        <w:t xml:space="preserve"> </w:t>
      </w:r>
      <w:r>
        <w:t xml:space="preserve">shipped observation-noise factor (3) and under an effectively total gate (factor 1000).</w:t>
      </w:r>
      <w:r>
        <w:t xml:space="preserve"> </w:t>
      </w:r>
      <w:r>
        <w:t xml:space="preserve">The reason is architectural: the lead’s braking had been registered before the glance</w:t>
      </w:r>
      <w:r>
        <w:t xml:space="preserve"> </w:t>
      </w:r>
      <w:r>
        <w:t xml:space="preserve">began, and during the glance the belief cloud coasts forward on its own norm-shaped</w:t>
      </w:r>
      <w:r>
        <w:t xml:space="preserve"> </w:t>
      </w:r>
      <w:r>
        <w:t xml:space="preserve">prediction, so the evidence accumulator keeps filling from</w:t>
      </w:r>
      <w:r>
        <w:t xml:space="preserve"> </w:t>
      </w:r>
      <w:r>
        <w:rPr>
          <w:i/>
          <w:iCs/>
        </w:rPr>
        <w:t xml:space="preserve">remembered and extrapolated</w:t>
      </w:r>
      <w:r>
        <w:t xml:space="preserve"> </w:t>
      </w:r>
      <w:r>
        <w:t xml:space="preserve">evidence. Looking away blocks new observations; it does not stop inference.</w:t>
      </w:r>
    </w:p>
    <w:p>
      <w:pPr>
        <w:pStyle w:val="BodyText"/>
      </w:pPr>
      <w:r>
        <w:t xml:space="preserve">The CBM assumes the opposite: no information accumulates while the eyes are away, and no</w:t>
      </w:r>
      <w:r>
        <w:t xml:space="preserve"> </w:t>
      </w:r>
      <w:r>
        <w:t xml:space="preserve">response can begin until 0.5 s after they return [B24]. The two architectures therefore</w:t>
      </w:r>
      <w:r>
        <w:t xml:space="preserve"> </w:t>
      </w:r>
      <w:r>
        <w:t xml:space="preserve">make</w:t>
      </w:r>
      <w:r>
        <w:t xml:space="preserve"> </w:t>
      </w:r>
      <w:r>
        <w:rPr>
          <w:b/>
          <w:bCs/>
        </w:rPr>
        <w:t xml:space="preserve">divergent, testable predictions</w:t>
      </w:r>
      <w:r>
        <w:t xml:space="preserve"> </w:t>
      </w:r>
      <w:r>
        <w:t xml:space="preserve">that depend on glance timing:</w:t>
      </w:r>
    </w:p>
    <w:p>
      <w:pPr>
        <w:pStyle w:val="Compact"/>
        <w:numPr>
          <w:ilvl w:val="0"/>
          <w:numId w:val="1007"/>
        </w:numPr>
      </w:pPr>
      <w:r>
        <w:t xml:space="preserve">glance covering the conflict onset → both models delay the response until (or beyond)</w:t>
      </w:r>
      <w:r>
        <w:t xml:space="preserve"> </w:t>
      </w:r>
      <w:r>
        <w:t xml:space="preserve">eyes-return; they roughly agree;</w:t>
      </w:r>
    </w:p>
    <w:p>
      <w:pPr>
        <w:pStyle w:val="Compact"/>
        <w:numPr>
          <w:ilvl w:val="0"/>
          <w:numId w:val="1007"/>
        </w:numPr>
      </w:pPr>
      <w:r>
        <w:t xml:space="preserve">glance beginning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the onset has been registered → the CBM still waits for</w:t>
      </w:r>
      <w:r>
        <w:t xml:space="preserve"> </w:t>
      </w:r>
      <w:r>
        <w:t xml:space="preserve">eyes-return + 0.5 s, while the active-inference driver responds mid-glance on</w:t>
      </w:r>
      <w:r>
        <w:t xml:space="preserve"> </w:t>
      </w:r>
      <w:r>
        <w:t xml:space="preserve">extrapolated evidence.</w:t>
      </w:r>
    </w:p>
    <w:p>
      <w:pPr>
        <w:pStyle w:val="FirstParagraph"/>
      </w:pPr>
      <w:r>
        <w:t xml:space="preserve">Naturalistic glance-conditional response data could separate these — drivers who brake</w:t>
      </w:r>
      <w:r>
        <w:t xml:space="preserve"> </w:t>
      </w:r>
      <w:r>
        <w:t xml:space="preserve">while still looking away (or within less than 0.5 s of looking back) in late-glance</w:t>
      </w:r>
      <w:r>
        <w:t xml:space="preserve"> </w:t>
      </w:r>
      <w:r>
        <w:t xml:space="preserve">conflicts would favor the active-inference account. To our knowledge the existing</w:t>
      </w:r>
      <w:r>
        <w:t xml:space="preserve"> </w:t>
      </w:r>
      <w:r>
        <w:t xml:space="preserve">glance-response literature conditions on eyes-off at conflict onset and does not isolate</w:t>
      </w:r>
      <w:r>
        <w:t xml:space="preserve"> </w:t>
      </w:r>
      <w:r>
        <w:t xml:space="preserve">the late-glance case [Opinion]. The tier-1 pipeline mirrors the distinction explicitly:</w:t>
      </w:r>
      <w:r>
        <w:t xml:space="preserve"> </w:t>
      </w:r>
      <w:r>
        <w:t xml:space="preserve">its evidence gate at weight 0 reproduces the CBM assumption, the Svärd et al. partial</w:t>
      </w:r>
      <w:r>
        <w:t xml:space="preserve"> </w:t>
      </w:r>
      <w:r>
        <w:t xml:space="preserve">looming weight is an intermediate, and the tier-2 precision gate is the full</w:t>
      </w:r>
      <w:r>
        <w:t xml:space="preserve"> </w:t>
      </w:r>
      <w:r>
        <w:t xml:space="preserve">active-inference behavior.</w:t>
      </w:r>
    </w:p>
    <w:bookmarkEnd w:id="33"/>
    <w:bookmarkStart w:id="34" w:name="Xe418ac941e4a69f733341d9b77e2ba5a5444489"/>
    <w:p>
      <w:pPr>
        <w:pStyle w:val="Heading2"/>
      </w:pPr>
      <w:r>
        <w:t xml:space="preserve">7 The pre-selection (exposure) critique, quantified</w:t>
      </w:r>
    </w:p>
    <w:p>
      <w:pPr>
        <w:pStyle w:val="FirstParagraph"/>
      </w:pPr>
      <w:r>
        <w:t xml:space="preserve">Applying causation mechanisms to crash-conditioned seeds answers</w:t>
      </w:r>
      <w:r>
        <w:t xml:space="preserve"> </w:t>
      </w:r>
      <w:r>
        <w:t xml:space="preserve">“what does this driver</w:t>
      </w:r>
      <w:r>
        <w:t xml:space="preserve"> </w:t>
      </w:r>
      <w:r>
        <w:t xml:space="preserve">do in situations that crashed for the generator’s driver”</w:t>
      </w:r>
      <w:r>
        <w:t xml:space="preserve">, not</w:t>
      </w:r>
      <w:r>
        <w:t xml:space="preserve"> </w:t>
      </w:r>
      <w:r>
        <w:t xml:space="preserve">“what crashes does this</w:t>
      </w:r>
      <w:r>
        <w:t xml:space="preserve"> </w:t>
      </w:r>
      <w:r>
        <w:t xml:space="preserve">driver produce in traffic”</w:t>
      </w:r>
      <w:r>
        <w:t xml:space="preserve">. Three numbers from this study’s own runs bound how far the</w:t>
      </w:r>
      <w:r>
        <w:t xml:space="preserve"> </w:t>
      </w:r>
      <w:r>
        <w:t xml:space="preserve">two questions are apart: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Support loss</w:t>
      </w:r>
      <w:r>
        <w:t xml:space="preserve">: at full population, 295 of 5 000 seeds never crash under the CBM</w:t>
      </w:r>
      <w:r>
        <w:t xml:space="preserve"> </w:t>
      </w:r>
      <w:r>
        <w:t xml:space="preserve">control at any glance or deceleration draw; they drop out of any exposure reweighting</w:t>
      </w:r>
      <w:r>
        <w:t xml:space="preserve"> </w:t>
      </w:r>
      <w:r>
        <w:t xml:space="preserve">entirely (13 of 100 in the sample).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Effective sample size</w:t>
      </w:r>
      <w:r>
        <w:t xml:space="preserve">: exposure reweighting (dividing each weight by its crash</w:t>
      </w:r>
      <w:r>
        <w:t xml:space="preserve"> </w:t>
      </w:r>
      <w:r>
        <w:t xml:space="preserve">probability) leaves an effective sample size of</w:t>
      </w:r>
      <w:r>
        <w:t xml:space="preserve"> </w:t>
      </w:r>
      <w:r>
        <w:rPr>
          <w:b/>
          <w:bCs/>
        </w:rPr>
        <w:t xml:space="preserve">44.7 out of 5 000</w:t>
      </w:r>
      <w:r>
        <w:t xml:space="preserve"> </w:t>
      </w:r>
      <w:r>
        <w:t xml:space="preserve">(6.9 out of 100</w:t>
      </w:r>
      <w:r>
        <w:t xml:space="preserve"> </w:t>
      </w:r>
      <w:r>
        <w:t xml:space="preserve">in the sample). Fifty times more seeds bought a factor of six in effective size —</w:t>
      </w:r>
      <w:r>
        <w:t xml:space="preserve"> </w:t>
      </w:r>
      <w:r>
        <w:t xml:space="preserve">the reweighting’s variance grows with exactly the benign scenarios the crash filter</w:t>
      </w:r>
      <w:r>
        <w:t xml:space="preserve"> </w:t>
      </w:r>
      <w:r>
        <w:t xml:space="preserve">removed, so exposure-level claims stay out of reach of crash-only seeds at any</w:t>
      </w:r>
      <w:r>
        <w:t xml:space="preserve"> </w:t>
      </w:r>
      <w:r>
        <w:t xml:space="preserve">practical 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Directional bias</w:t>
      </w:r>
      <w:r>
        <w:t xml:space="preserve">: the missing scenarios are the long-headway, mild-conflict ones</w:t>
      </w:r>
      <w:r>
        <w:t xml:space="preserve"> </w:t>
      </w:r>
      <w:r>
        <w:t xml:space="preserve">in which crashes occur only through glances or non-response — for a glance-causation</w:t>
      </w:r>
      <w:r>
        <w:t xml:space="preserve"> </w:t>
      </w:r>
      <w:r>
        <w:t xml:space="preserve">study, the worst possible region to lose.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B-versus-C contrast is far more robust to this critique than any absolute</w:t>
      </w:r>
      <w:r>
        <w:rPr>
          <w:b/>
          <w:bCs/>
        </w:rPr>
        <w:t xml:space="preserve"> </w:t>
      </w:r>
      <w:r>
        <w:rPr>
          <w:b/>
          <w:bCs/>
        </w:rPr>
        <w:t xml:space="preserve">number</w:t>
      </w:r>
      <w:r>
        <w:t xml:space="preserve">, because both response models face the identical conditioned ensemble. Absolute</w:t>
      </w:r>
      <w:r>
        <w:t xml:space="preserve"> </w:t>
      </w:r>
      <w:r>
        <w:t xml:space="preserve">crash rates and severity distributions inherit the full bias. The proper fix is</w:t>
      </w:r>
      <w:r>
        <w:t xml:space="preserve"> </w:t>
      </w:r>
      <w:r>
        <w:t xml:space="preserve">upstream: the pre-filter scenario set (or the fitted scenario-generation models) of</w:t>
      </w:r>
      <w:r>
        <w:t xml:space="preserve"> </w:t>
      </w:r>
      <w:r>
        <w:t xml:space="preserve">[W25a], requested from its author; the 82 real SHRP2 near-crashes in the QUADRIS release</w:t>
      </w:r>
      <w:r>
        <w:t xml:space="preserve"> </w:t>
      </w:r>
      <w:r>
        <w:t xml:space="preserve">are an intermediate exposure extension available now.</w:t>
      </w:r>
    </w:p>
    <w:bookmarkEnd w:id="34"/>
    <w:bookmarkStart w:id="35" w:name="conclusions"/>
    <w:p>
      <w:pPr>
        <w:pStyle w:val="Heading2"/>
      </w:pPr>
      <w:r>
        <w:t xml:space="preserve">8 Conclusions</w:t>
      </w:r>
    </w:p>
    <w:p>
      <w:pPr>
        <w:pStyle w:val="Compact"/>
        <w:numPr>
          <w:ilvl w:val="0"/>
          <w:numId w:val="1009"/>
        </w:numPr>
      </w:pPr>
      <w:r>
        <w:t xml:space="preserve">The pipeline now runs the complete design: five switchable causation components, two</w:t>
      </w:r>
      <w:r>
        <w:t xml:space="preserve"> </w:t>
      </w:r>
      <w:r>
        <w:t xml:space="preserve">response processes, digitized real input distributions, a defensible counterfactual,</w:t>
      </w:r>
      <w:r>
        <w:t xml:space="preserve"> </w:t>
      </w:r>
      <w:r>
        <w:t xml:space="preserve">process-placed glances, and the full [W26] readout with the assumption-free severity</w:t>
      </w:r>
      <w:r>
        <w:t xml:space="preserve"> </w:t>
      </w:r>
      <w:r>
        <w:t xml:space="preserve">metric.</w:t>
      </w:r>
    </w:p>
    <w:p>
      <w:pPr>
        <w:pStyle w:val="Compact"/>
        <w:numPr>
          <w:ilvl w:val="0"/>
          <w:numId w:val="1009"/>
        </w:numPr>
      </w:pPr>
      <w:r>
        <w:t xml:space="preserve">At full population,</w:t>
      </w:r>
      <w:r>
        <w:t xml:space="preserve"> </w:t>
      </w:r>
      <w:r>
        <w:rPr>
          <w:b/>
          <w:bCs/>
        </w:rPr>
        <w:t xml:space="preserve">the active-inference conditions are closer to the QUADRIS</w:t>
      </w:r>
      <w:r>
        <w:rPr>
          <w:b/>
          <w:bCs/>
        </w:rPr>
        <w:t xml:space="preserve"> </w:t>
      </w:r>
      <w:r>
        <w:rPr>
          <w:b/>
          <w:bCs/>
        </w:rPr>
        <w:t xml:space="preserve">reference than the CBM control</w:t>
      </w:r>
      <w:r>
        <w:t xml:space="preserve"> </w:t>
      </w:r>
      <w:r>
        <w:t xml:space="preserve">on severity (θ 0.31 versus 0.39; with the abnormal</w:t>
      </w:r>
      <w:r>
        <w:t xml:space="preserve"> </w:t>
      </w:r>
      <w:r>
        <w:t xml:space="preserve">component 0.148 versus 0.209), despite generating 4.7 times its crash probability</w:t>
      </w:r>
      <w:r>
        <w:t xml:space="preserve"> </w:t>
      </w:r>
      <w:r>
        <w:t xml:space="preserve">(0.280 versus 0.059) — slower responses produce more crashes, but the</w:t>
      </w:r>
      <w:r>
        <w:t xml:space="preserve"> </w:t>
      </w:r>
      <w:r>
        <w:rPr>
          <w:i/>
          <w:iCs/>
        </w:rPr>
        <w:t xml:space="preserve">right</w:t>
      </w:r>
      <w:r>
        <w:t xml:space="preserve"> </w:t>
      </w:r>
      <w:r>
        <w:t xml:space="preserve">crash</w:t>
      </w:r>
      <w:r>
        <w:t xml:space="preserve"> </w:t>
      </w:r>
      <w:r>
        <w:t xml:space="preserve">population. The ordering is</w:t>
      </w:r>
      <w:r>
        <w:t xml:space="preserve"> </w:t>
      </w:r>
      <w:r>
        <w:rPr>
          <w:b/>
          <w:bCs/>
        </w:rPr>
        <w:t xml:space="preserve">strongly supported rather than a point-estimate</w:t>
      </w:r>
      <w:r>
        <w:rPr>
          <w:b/>
          <w:bCs/>
        </w:rPr>
        <w:t xml:space="preserve"> </w:t>
      </w:r>
      <w:r>
        <w:rPr>
          <w:b/>
          <w:bCs/>
        </w:rPr>
        <w:t xml:space="preserve">impression, though not beyond doubt</w:t>
      </w:r>
      <w:r>
        <w:t xml:space="preserve">: tested as a difference, θ_C − θ_B = 0.061 with</w:t>
      </w:r>
      <w:r>
        <w:t xml:space="preserve"> </w:t>
      </w:r>
      <w:r>
        <w:t xml:space="preserve">P(θ_C &gt; θ_B) ≈ 0.97 under the settled uncertainty convention, an HDI that grazes zero</w:t>
      </w:r>
      <w:r>
        <w:t xml:space="preserve"> </w:t>
      </w:r>
      <w:r>
        <w:t xml:space="preserve">(section 4.3b-ii, corrected 2026-08-27), consistency in point estimates at every bin</w:t>
      </w:r>
      <w:r>
        <w:t xml:space="preserve"> </w:t>
      </w:r>
      <w:r>
        <w:t xml:space="preserve">count, and independent corroboration from the braking aggregate (section 4.3c).</w:t>
      </w:r>
      <w:r>
        <w:t xml:space="preserve"> </w:t>
      </w:r>
      <w:r>
        <w:t xml:space="preserve">The best configuration still misses practical equivalence on severity — θ = 0.148</w:t>
      </w:r>
      <w:r>
        <w:t xml:space="preserve"> </w:t>
      </w:r>
      <w:r>
        <w:t xml:space="preserve">[0.110, 0.204] against the project’s adopted θthd = 0.188, failing on the interval’s</w:t>
      </w:r>
      <w:r>
        <w:t xml:space="preserve"> </w:t>
      </w:r>
      <w:r>
        <w:t xml:space="preserve">upper end — but it misses by a margin the reference can resolve, and down from the</w:t>
      </w:r>
      <w:r>
        <w:t xml:space="preserve"> </w:t>
      </w:r>
      <w:r>
        <w:t xml:space="preserve">factor of 14 the study started at. Only the active-inference conditions reproduce the</w:t>
      </w:r>
      <w:r>
        <w:t xml:space="preserve"> </w:t>
      </w:r>
      <w:r>
        <w:t xml:space="preserve">reference’s dominant non-braking crash character.</w:t>
      </w:r>
      <w:r>
        <w:t xml:space="preserve"> </w:t>
      </w:r>
      <w:r>
        <w:t xml:space="preserve">2b.</w:t>
      </w:r>
      <w:r>
        <w:t xml:space="preserve"> </w:t>
      </w:r>
      <w:r>
        <w:rPr>
          <w:b/>
          <w:bCs/>
        </w:rPr>
        <w:t xml:space="preserve">The braking metric was misreported, in both directions.</w:t>
      </w:r>
      <w:r>
        <w:t xml:space="preserve"> </w:t>
      </w:r>
      <w:r>
        <w:t xml:space="preserve">Its θ of 1.06 (B) and 1.38</w:t>
      </w:r>
    </w:p>
    <w:p>
      <w:pPr>
        <w:pStyle w:val="Compact"/>
        <w:numPr>
          <w:ilvl w:val="0"/>
          <w:numId w:val="1000"/>
        </w:numPr>
      </w:pPr>
      <w:r>
        <w:t xml:space="preserve">(C) is largely an artifact of quantile bins collapsing onto a 48% atom at zero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docs/severity_vs_timing.md</w:t>
      </w:r>
      <w:r>
        <w:t xml:space="preserve">). Measured on the weighted mean instead, condition B</w:t>
      </w:r>
      <w:r>
        <w:t xml:space="preserve"> </w:t>
      </w:r>
      <w:r>
        <w:t xml:space="preserve">reproduces the reference’s follower braking to within</w:t>
      </w:r>
      <w:r>
        <w:t xml:space="preserve"> </w:t>
      </w:r>
      <w:r>
        <w:rPr>
          <w:b/>
          <w:bCs/>
        </w:rPr>
        <w:t xml:space="preserve">0.3%</w:t>
      </w:r>
      <w:r>
        <w:t xml:space="preserve"> </w:t>
      </w:r>
      <w:r>
        <w:t xml:space="preserve">while the CBM control</w:t>
      </w:r>
      <w:r>
        <w:t xml:space="preserve"> </w:t>
      </w:r>
      <w:r>
        <w:t xml:space="preserve">over-brakes by</w:t>
      </w:r>
      <w:r>
        <w:t xml:space="preserve"> </w:t>
      </w:r>
      <w:r>
        <w:rPr>
          <w:b/>
          <w:bCs/>
        </w:rPr>
        <w:t xml:space="preserve">35%</w:t>
      </w:r>
      <w:r>
        <w:t xml:space="preserve"> </w:t>
      </w:r>
      <w:r>
        <w:t xml:space="preserve">— a far sharper separation than θ ever showed (section 4.3c).</w:t>
      </w:r>
    </w:p>
    <w:p>
      <w:pPr>
        <w:pStyle w:val="Compact"/>
        <w:numPr>
          <w:ilvl w:val="0"/>
          <w:numId w:val="1009"/>
        </w:numPr>
      </w:pPr>
      <w:r>
        <w:t xml:space="preserve">The active-inference response-timing claim is</w:t>
      </w:r>
      <w:r>
        <w:t xml:space="preserve"> </w:t>
      </w:r>
      <w:r>
        <w:rPr>
          <w:b/>
          <w:bCs/>
        </w:rPr>
        <w:t xml:space="preserve">settled by the tier-2 arbiter</w:t>
      </w:r>
      <w:r>
        <w:t xml:space="preserve">: the</w:t>
      </w:r>
      <w:r>
        <w:t xml:space="preserve"> </w:t>
      </w:r>
      <w:r>
        <w:t xml:space="preserve">closed loop matches the zero-start surrogate (median difference +0.42 s, 20/24 seeds</w:t>
      </w:r>
      <w:r>
        <w:t xml:space="preserve"> </w:t>
      </w:r>
      <w:r>
        <w:t xml:space="preserve">closer) and rejects the stationary start, so the active-inference response is slower</w:t>
      </w:r>
      <w:r>
        <w:t xml:space="preserve"> </w:t>
      </w:r>
      <w:r>
        <w:t xml:space="preserve">and more variable than the CBM’s rule, with the tier-1 surrogate validated untuned to</w:t>
      </w:r>
      <w:r>
        <w:t xml:space="preserve"> </w:t>
      </w:r>
      <w:r>
        <w:t xml:space="preserve">a median absolute onset difference of 0.55 s across 1.3–35.5 m/s.</w:t>
      </w:r>
    </w:p>
    <w:p>
      <w:pPr>
        <w:pStyle w:val="Compact"/>
        <w:numPr>
          <w:ilvl w:val="0"/>
          <w:numId w:val="1009"/>
        </w:numPr>
      </w:pPr>
      <w:r>
        <w:t xml:space="preserve">The architectural finding stands: evidence gating versus inference gating during</w:t>
      </w:r>
      <w:r>
        <w:t xml:space="preserve"> </w:t>
      </w:r>
      <w:r>
        <w:t xml:space="preserve">off-road glances is a real, behaviorally testable difference between the CBM and</w:t>
      </w:r>
      <w:r>
        <w:t xml:space="preserve"> </w:t>
      </w:r>
      <w:r>
        <w:t xml:space="preserve">active inference (section 6).</w:t>
      </w:r>
    </w:p>
    <w:p>
      <w:pPr>
        <w:pStyle w:val="Compact"/>
        <w:numPr>
          <w:ilvl w:val="0"/>
          <w:numId w:val="1009"/>
        </w:numPr>
      </w:pPr>
      <w:r>
        <w:t xml:space="preserve">Equivalence in the strict ROPE sense is not reached by any configuration — as it was</w:t>
      </w:r>
      <w:r>
        <w:t xml:space="preserve"> </w:t>
      </w:r>
      <w:r>
        <w:t xml:space="preserve">not by the SCM in [W26] — and section 7’s numbers show that exposure-level claims</w:t>
      </w:r>
      <w:r>
        <w:t xml:space="preserve"> </w:t>
      </w:r>
      <w:r>
        <w:t xml:space="preserve">are outside what crash-conditioned seeds can support at any 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The equivalence criteria themselves needed work before that verdict meant anything</w:t>
      </w:r>
      <w:r>
        <w:t xml:space="preserve"> </w:t>
      </w:r>
      <w:r>
        <w:t xml:space="preserve">(section 4.3b,</w:t>
      </w:r>
      <w:r>
        <w:t xml:space="preserve"> </w:t>
      </w:r>
      <w:r>
        <w:rPr>
          <w:rStyle w:val="VerbatimChar"/>
        </w:rPr>
        <w:t xml:space="preserve">docs/equivalence_rope_note.md</w:t>
      </w:r>
      <w:r>
        <w:t xml:space="preserve">). Our original configuration could not be</w:t>
      </w:r>
      <w:r>
        <w:t xml:space="preserve"> </w:t>
      </w:r>
      <w:r>
        <w:t xml:space="preserve">passed by a model that is exactly right, for three compounding reasons: uniform bin</w:t>
      </w:r>
      <w:r>
        <w:t xml:space="preserve"> </w:t>
      </w:r>
      <w:r>
        <w:t xml:space="preserve">weights applied a tolerance calibrated for a far more severe crash population, our</w:t>
      </w:r>
      <w:r>
        <w:t xml:space="preserve"> </w:t>
      </w:r>
      <w:r>
        <w:t xml:space="preserve">weighted bootstrap understated the spread by about a factor of two, and the reference</w:t>
      </w:r>
      <w:r>
        <w:t xml:space="preserve"> </w:t>
      </w:r>
      <w:r>
        <w:t xml:space="preserve">was treated as a sample rather than as the target set. With those settled — the QUADRIS</w:t>
      </w:r>
      <w:r>
        <w:t xml:space="preserve"> </w:t>
      </w:r>
      <w:r>
        <w:t xml:space="preserve">5 000 taken as the target population, thresholds derived from a stated 10% tolerance on</w:t>
      </w:r>
      <w:r>
        <w:t xml:space="preserve"> </w:t>
      </w:r>
      <w:r>
        <w:t xml:space="preserve">the injury-weighted mean rather than inherited — the noise floor falls to about 0.021</w:t>
      </w:r>
      <w:r>
        <w:t xml:space="preserve"> </w:t>
      </w:r>
      <w:r>
        <w:t xml:space="preserve">and the verdicts describe the model. A standing caution follows: θ and Θ constrain only</w:t>
      </w:r>
      <w:r>
        <w:t xml:space="preserve"> </w:t>
      </w:r>
      <w:r>
        <w:t xml:space="preserve">how mass is allocated</w:t>
      </w:r>
      <w:r>
        <w:t xml:space="preserve"> </w:t>
      </w:r>
      <w:r>
        <w:rPr>
          <w:i/>
          <w:iCs/>
        </w:rPr>
        <w:t xml:space="preserve">between</w:t>
      </w:r>
      <w:r>
        <w:t xml:space="preserve"> </w:t>
      </w:r>
      <w:r>
        <w:t xml:space="preserve">bins, so the weighted aggregate must be reported</w:t>
      </w:r>
      <w:r>
        <w:t xml:space="preserve"> </w:t>
      </w:r>
      <w:r>
        <w:t xml:space="preserve">alongside them, as section 4.3c now does.</w:t>
      </w:r>
    </w:p>
    <w:bookmarkEnd w:id="35"/>
    <w:bookmarkStart w:id="36" w:name="limitations-and-next-steps"/>
    <w:p>
      <w:pPr>
        <w:pStyle w:val="Heading2"/>
      </w:pPr>
      <w:r>
        <w:t xml:space="preserve">9 Limitations and next steps</w:t>
      </w:r>
    </w:p>
    <w:p>
      <w:pPr>
        <w:pStyle w:val="Compact"/>
        <w:numPr>
          <w:ilvl w:val="0"/>
          <w:numId w:val="1010"/>
        </w:numPr>
      </w:pPr>
      <w:r>
        <w:t xml:space="preserve">Glance and deceleration distributions are digitized from published figures; the actual</w:t>
      </w:r>
      <w:r>
        <w:t xml:space="preserve"> </w:t>
      </w:r>
      <w:r>
        <w:t xml:space="preserve">SHRP2 bins would remove the residual digitization error and the truncated glance tail.</w:t>
      </w:r>
      <w:r>
        <w:t xml:space="preserve"> </w:t>
      </w:r>
      <w:r>
        <w:t xml:space="preserve">The abnormal-acceleration onset-time distribution of [W25a] is unpublished; the</w:t>
      </w:r>
      <w:r>
        <w:t xml:space="preserve"> </w:t>
      </w:r>
      <w:r>
        <w:t xml:space="preserve">component applies its acceleration from the lead’s braking onset instead.</w:t>
      </w:r>
    </w:p>
    <w:p>
      <w:pPr>
        <w:pStyle w:val="Compact"/>
        <w:numPr>
          <w:ilvl w:val="0"/>
          <w:numId w:val="1010"/>
        </w:numPr>
      </w:pPr>
      <w:r>
        <w:t xml:space="preserve">The full-population runs use 10 process draws per seed (seed-level variation dominates</w:t>
      </w:r>
      <w:r>
        <w:t xml:space="preserve"> </w:t>
      </w:r>
      <w:r>
        <w:t xml:space="preserve">at n = 5 000; the 100-seed sensitivity runs used 50). The QUADRIS reference is itself</w:t>
      </w:r>
      <w:r>
        <w:t xml:space="preserve"> </w:t>
      </w:r>
      <w:r>
        <w:t xml:space="preserve">model-generated, so all equivalence statements are relative to that generator.</w:t>
      </w:r>
    </w:p>
    <w:p>
      <w:pPr>
        <w:pStyle w:val="Compact"/>
        <w:numPr>
          <w:ilvl w:val="0"/>
          <w:numId w:val="1010"/>
        </w:numPr>
      </w:pPr>
      <w:r>
        <w:t xml:space="preserve">The accumulator-initialization question is closed for this design (section 5); what a</w:t>
      </w:r>
      <w:r>
        <w:t xml:space="preserve"> </w:t>
      </w:r>
      <w:r>
        <w:t xml:space="preserve">driver carries into a conflict after minutes of continuous short-gap following remains</w:t>
      </w:r>
      <w:r>
        <w:t xml:space="preserve"> </w:t>
      </w:r>
      <w:r>
        <w:t xml:space="preserve">outside both tiers’ windows, and would matter for study designs with long run-ins.</w:t>
      </w:r>
    </w:p>
    <w:p>
      <w:pPr>
        <w:pStyle w:val="Compact"/>
        <w:numPr>
          <w:ilvl w:val="0"/>
          <w:numId w:val="1010"/>
        </w:numPr>
      </w:pPr>
      <w:r>
        <w:t xml:space="preserve">The stopped/creeping-follower seeds (20 of the 100-seed sample) have now run in</w:t>
      </w:r>
      <w:r>
        <w:t xml:space="preserve"> </w:t>
      </w:r>
      <w:r>
        <w:t xml:space="preserve">tier 2 under the desired-speed convention of 2026-08-25 (the speed the original</w:t>
      </w:r>
      <w:r>
        <w:t xml:space="preserve"> </w:t>
      </w:r>
      <w:r>
        <w:t xml:space="preserve">follower later reached), and the result is a finding rather than a fix: these are</w:t>
      </w:r>
      <w:r>
        <w:t xml:space="preserve"> </w:t>
      </w:r>
      <w:r>
        <w:rPr>
          <w:b/>
          <w:bCs/>
        </w:rPr>
        <w:t xml:space="preserve">both-stationary queue scenarios</w:t>
      </w:r>
      <w:r>
        <w:t xml:space="preserve"> </w:t>
      </w:r>
      <w:r>
        <w:t xml:space="preserve">— the lead also stands still — whose original</w:t>
      </w:r>
      <w:r>
        <w:t xml:space="preserve"> </w:t>
      </w:r>
      <w:r>
        <w:t xml:space="preserve">crashes came from the generator’s abnormal-acceleration mode driving into the queue</w:t>
      </w:r>
      <w:r>
        <w:t xml:space="preserve"> </w:t>
      </w:r>
      <w:r>
        <w:t xml:space="preserve">(56% of both-stationary cases in [W25a]’s own statistics). The closed-loop driver,</w:t>
      </w:r>
      <w:r>
        <w:t xml:space="preserve"> </w:t>
      </w:r>
      <w:r>
        <w:t xml:space="preserve">correctly, stays put: no attentive response process can produce these crashes, because</w:t>
      </w:r>
      <w:r>
        <w:t xml:space="preserve"> </w:t>
      </w:r>
      <w:r>
        <w:t xml:space="preserve">there is no conflict to respond to. They are reachable only through the</w:t>
      </w:r>
      <w:r>
        <w:t xml:space="preserve"> </w:t>
      </w:r>
      <w:r>
        <w:t xml:space="preserve">abnormal-acceleration and no-response components, which is how the tier-1 pipeline</w:t>
      </w:r>
      <w:r>
        <w:t xml:space="preserve"> </w:t>
      </w:r>
      <w:r>
        <w:t xml:space="preserve">treats them; in the arbiter comparison they contribute no attentive onsets and are</w:t>
      </w:r>
      <w:r>
        <w:t xml:space="preserve"> </w:t>
      </w:r>
      <w:r>
        <w:t xml:space="preserve">excluded automatically.</w:t>
      </w:r>
    </w:p>
    <w:p>
      <w:pPr>
        <w:pStyle w:val="FirstParagraph"/>
      </w:pPr>
      <w:r>
        <w:t xml:space="preserve">Regeneration: the tagged commands are in</w:t>
      </w:r>
      <w:r>
        <w:t xml:space="preserve"> </w:t>
      </w:r>
      <w:r>
        <w:rPr>
          <w:rStyle w:val="VerbatimChar"/>
        </w:rPr>
        <w:t xml:space="preserve">replication/causation/out/log_nb*.txt</w:t>
      </w:r>
      <w:r>
        <w:t xml:space="preserve">; figures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replication/causation/make_results_figures.py --tag nbp</w:t>
      </w:r>
      <w:r>
        <w:t xml:space="preserve">; this document by</w:t>
      </w:r>
      <w:r>
        <w:t xml:space="preserve"> </w:t>
      </w:r>
      <w:r>
        <w:rPr>
          <w:rStyle w:val="VerbatimChar"/>
        </w:rPr>
        <w:t xml:space="preserve">docs/build_pdf.py docs/crash_causation_results.md</w:t>
      </w:r>
      <w:r>
        <w:t xml:space="preserve">.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6" Target="media/rId16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2026-08-27T06:04:38Z</dcterms:created>
  <dcterms:modified xsi:type="dcterms:W3CDTF">2026-08-27T06:04:38Z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