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handover-the-2026-08-25-2026-08-26-arc"/>
    <w:p>
      <w:pPr>
        <w:pStyle w:val="Heading1"/>
      </w:pPr>
      <w:r>
        <w:t xml:space="preserve">Handover: the 2026-08-25 → 2026-08-26 arc</w:t>
      </w:r>
    </w:p>
    <w:p>
      <w:pPr>
        <w:pStyle w:val="FirstParagraph"/>
      </w:pPr>
      <w:r>
        <w:rPr>
          <w:i/>
          <w:iCs/>
        </w:rPr>
        <w:t xml:space="preserve">Written 2026-08-26 for a successor session.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handover.md</w:t>
      </w:r>
      <w:r>
        <w:rPr>
          <w:i/>
          <w:iCs/>
        </w:rPr>
        <w:t xml:space="preserve"> </w:t>
      </w:r>
      <w:r>
        <w:rPr>
          <w:i/>
          <w:iCs/>
        </w:rPr>
        <w:t xml:space="preserve">remains the standing session</w:t>
      </w:r>
      <w:r>
        <w:rPr>
          <w:i/>
          <w:iCs/>
        </w:rPr>
        <w:t xml:space="preserve"> </w:t>
      </w:r>
      <w:r>
        <w:rPr>
          <w:i/>
          <w:iCs/>
        </w:rPr>
        <w:t xml:space="preserve">entry point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HANDOFF.md</w:t>
      </w:r>
      <w:r>
        <w:rPr>
          <w:i/>
          <w:iCs/>
        </w:rPr>
        <w:t xml:space="preserve"> </w:t>
      </w:r>
      <w:r>
        <w:rPr>
          <w:i/>
          <w:iCs/>
        </w:rPr>
        <w:t xml:space="preserve">the deep research context; this file covers only what happened</w:t>
      </w:r>
      <w:r>
        <w:rPr>
          <w:i/>
          <w:iCs/>
        </w:rPr>
        <w:t xml:space="preserve"> </w:t>
      </w:r>
      <w:r>
        <w:rPr>
          <w:i/>
          <w:iCs/>
        </w:rPr>
        <w:t xml:space="preserve">in this arc, why, and where it landed. Read it after those two.</w:t>
      </w:r>
    </w:p>
    <w:bookmarkStart w:id="9" w:name="what-this-arc-was"/>
    <w:p>
      <w:pPr>
        <w:pStyle w:val="Heading2"/>
      </w:pPr>
      <w:r>
        <w:t xml:space="preserve">0 What this arc was</w:t>
      </w:r>
    </w:p>
    <w:p>
      <w:pPr>
        <w:pStyle w:val="FirstParagraph"/>
      </w:pPr>
      <w:r>
        <w:t xml:space="preserve">It began as a request to explain the practical-equivalence ROPE used to score the</w:t>
      </w:r>
      <w:r>
        <w:t xml:space="preserve"> </w:t>
      </w:r>
      <w:r>
        <w:t xml:space="preserve">crash-causation study, and turned into three things: a substantial revision of how that</w:t>
      </w:r>
      <w:r>
        <w:t xml:space="preserve"> </w:t>
      </w:r>
      <w:r>
        <w:t xml:space="preserve">study’s statistics are computed and reported, a diagnosis of why its metrics disagreed with</w:t>
      </w:r>
      <w:r>
        <w:t xml:space="preserve"> </w:t>
      </w:r>
      <w:r>
        <w:t xml:space="preserve">each other, and the opening of a new workstream on human data that arrived mid-arc.</w:t>
      </w:r>
    </w:p>
    <w:p>
      <w:pPr>
        <w:pStyle w:val="BodyText"/>
      </w:pPr>
      <w:r>
        <w:t xml:space="preserve">Nothing about the study’s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was overturned. What changed is the machinery used to</w:t>
      </w:r>
      <w:r>
        <w:t xml:space="preserve"> </w:t>
      </w:r>
      <w:r>
        <w:t xml:space="preserve">express them, and in two places the machinery had been wrong.</w:t>
      </w:r>
    </w:p>
    <w:bookmarkEnd w:id="9"/>
    <w:bookmarkStart w:id="10" w:name="decisions-taken-with-their-reasoning"/>
    <w:p>
      <w:pPr>
        <w:pStyle w:val="Heading2"/>
      </w:pPr>
      <w:r>
        <w:t xml:space="preserve">1 Decisions taken, with their reasoning</w:t>
      </w:r>
    </w:p>
    <w:p>
      <w:pPr>
        <w:pStyle w:val="FirstParagraph"/>
      </w:pPr>
      <w:r>
        <w:t xml:space="preserve">These are settled unless someone reopens them. Each has a documented argument; the third</w:t>
      </w:r>
      <w:r>
        <w:t xml:space="preserve"> </w:t>
      </w:r>
      <w:r>
        <w:t xml:space="preserve">column says where.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where argued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QUADRIS 5 000 are the target population, not a sample.</w:t>
            </w:r>
            <w:r>
              <w:t xml:space="preserve"> </w:t>
            </w:r>
            <w:r>
              <w:t xml:space="preserve">Only the synthetic side carries sampling error. Claims must name the ensemble and must not generalize to the fleet.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docs/equivalence_rope_note.md</w:t>
            </w:r>
            <w:r>
              <w:t xml:space="preserve"> </w:t>
            </w:r>
            <w:r>
              <w:t xml:space="preserve">§2.5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ROPE thresholds are derived, not inherited</w:t>
            </w:r>
            <w:r>
              <w:t xml:space="preserve">: θthd = 0.188, Θthd = 0.089, from a stated 10% tolerance on the injury-weighted mean.</w:t>
            </w:r>
          </w:p>
        </w:tc>
        <w:tc>
          <w:tcPr/>
          <w:p>
            <w:pPr>
              <w:pStyle w:val="Compact"/>
            </w:pPr>
            <w:r>
              <w:t xml:space="preserve">§3.1, §5,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Uniform bin weights (ω = 1), no system under assessment.</w:t>
            </w:r>
            <w:r>
              <w:t xml:space="preserve"> </w:t>
            </w:r>
            <w:r>
              <w:t xml:space="preserve">Building an AEB to generate weights would not help; a very effective system produces degenerate weights.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stays operationalized as injury risk</w:t>
            </w:r>
            <w:r>
              <w:t xml:space="preserve">, not relative speed at impact, with relative speed reported alongside as the assumption-free check.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= 5 bins</w:t>
            </w:r>
            <w:r>
              <w:t xml:space="preserve">, against Eq. 4’s prescribed 20, because 20 is unusable at this reference size and θ’s upward bias grows with N.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Comparisons between conditions are made as paired differences</w:t>
            </w:r>
            <w:r>
              <w:t xml:space="preserve">, not by comparing marginal intervals.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docs/crash_causation_results.md</w:t>
            </w:r>
            <w:r>
              <w:t xml:space="preserve"> </w:t>
            </w:r>
            <w:r>
              <w:t xml:space="preserve">§4.3b-ii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weighted aggregate is reported alongside θ and Θ</w:t>
            </w:r>
            <w:r>
              <w:t xml:space="preserve">, because neither bounds it.</w:t>
            </w:r>
          </w:p>
        </w:tc>
        <w:tc>
          <w:tcPr/>
          <w:p>
            <w:pPr>
              <w:pStyle w:val="Compact"/>
            </w:pPr>
            <w:r>
              <w:t xml:space="preserve">§3.2; implemented in</w:t>
            </w:r>
            <w:r>
              <w:t xml:space="preserve"> </w:t>
            </w:r>
            <w:r>
              <w:rPr>
                <w:rStyle w:val="VerbatimChar"/>
              </w:rPr>
              <w:t xml:space="preserve">equivalence.aggregate_table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Fixed-clip (Randomized) data is the primary CZB fitting target</w:t>
            </w:r>
            <w:r>
              <w:t xml:space="preserve">; button-press is validation only, because of satisficing; Sequence is excluded for autocorrelation.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docs/czb_study1_data_plan.md</w:t>
            </w:r>
            <w:r>
              <w:t xml:space="preserve"> </w:t>
            </w:r>
            <w:r>
              <w:t xml:space="preserve">§2(b)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Comfort and dread boundaries fitted as an ordered model</w:t>
            </w:r>
            <w:r>
              <w:t xml:space="preserve">, with the dread level well identified by</w:t>
            </w:r>
            <w:r>
              <w:t xml:space="preserve"> </w:t>
            </w:r>
            <w:r>
              <w:t xml:space="preserve">“hard braking expected”</w:t>
            </w:r>
            <w:r>
              <w:t xml:space="preserve"> </w:t>
            </w:r>
            <w:r>
              <w:t xml:space="preserve">and the comfort level treated as latent with a wider posterior.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docs/handbook/11_path_to_czb.md</w:t>
            </w:r>
          </w:p>
        </w:tc>
      </w:tr>
    </w:tbl>
    <w:bookmarkEnd w:id="10"/>
    <w:bookmarkStart w:id="11" w:name="two-defects-found-in-our-own-code"/>
    <w:p>
      <w:pPr>
        <w:pStyle w:val="Heading2"/>
      </w:pPr>
      <w:r>
        <w:t xml:space="preserve">2 Two defects found in our own code</w:t>
      </w:r>
    </w:p>
    <w:p>
      <w:pPr>
        <w:pStyle w:val="FirstParagraph"/>
      </w:pPr>
      <w:r>
        <w:t xml:space="preserve">Both were ours, not the method’s. Both are fixed; both required regenerating outputs.</w:t>
      </w:r>
    </w:p>
    <w:p>
      <w:pPr>
        <w:pStyle w:val="BodyText"/>
      </w:pPr>
      <w:r>
        <w:rPr>
          <w:b/>
          <w:bCs/>
        </w:rPr>
        <w:t xml:space="preserve">2.1 The weighted bootstrap understated uncertainty by about a factor of two.</w:t>
      </w:r>
      <w:r>
        <w:t xml:space="preserve"> </w:t>
      </w:r>
      <w:r>
        <w:rPr>
          <w:rStyle w:val="VerbatimChar"/>
        </w:rPr>
        <w:t xml:space="preserve">equivalence_test</w:t>
      </w:r>
      <w:r>
        <w:t xml:space="preserve"> </w:t>
      </w:r>
      <w:r>
        <w:t xml:space="preserve">drew reference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with probability proportional to weight and then</w:t>
      </w:r>
      <w:r>
        <w:t xml:space="preserve"> </w:t>
      </w:r>
      <w:r>
        <w:t xml:space="preserve">treated the resample as unweighted, which claims the precision of 5 000 independent draws.</w:t>
      </w:r>
      <w:r>
        <w:t xml:space="preserve"> </w:t>
      </w:r>
      <w:r>
        <w:t xml:space="preserve">The QUADRIS crash weights are concentrated enough (top 10% of scenarios carry 54% of the</w:t>
      </w:r>
      <w:r>
        <w:t xml:space="preserve"> </w:t>
      </w:r>
      <w:r>
        <w:t xml:space="preserve">weight) that the reference’s effective sample size is</w:t>
      </w:r>
      <w:r>
        <w:t xml:space="preserve"> </w:t>
      </w:r>
      <w:r>
        <w:rPr>
          <w:b/>
          <w:bCs/>
        </w:rPr>
        <w:t xml:space="preserve">950</w:t>
      </w:r>
      <w:r>
        <w:t xml:space="preserve">. Fixed by adding a</w:t>
      </w:r>
      <w:r>
        <w:t xml:space="preserve"> </w:t>
      </w:r>
      <w:r>
        <w:rPr>
          <w:rStyle w:val="VerbatimChar"/>
        </w:rPr>
        <w:t xml:space="preserve">resample</w:t>
      </w:r>
      <w:r>
        <w:t xml:space="preserve"> </w:t>
      </w:r>
      <w:r>
        <w:t xml:space="preserve">parameter with three schemes —</w:t>
      </w:r>
      <w:r>
        <w:t xml:space="preserve"> </w:t>
      </w:r>
      <w:r>
        <w:rPr>
          <w:rStyle w:val="VerbatimChar"/>
        </w:rPr>
        <w:t xml:space="preserve">"population"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"cases"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"values"</w:t>
      </w:r>
      <w:r>
        <w:t xml:space="preserve"> </w:t>
      </w:r>
      <w:r>
        <w:t xml:space="preserve">(legacy) —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src/equivalence/test.py</w:t>
      </w:r>
      <w:r>
        <w:t xml:space="preserve">. Point estimates were unaffected; every HDI published before</w:t>
      </w:r>
      <w:r>
        <w:t xml:space="preserve"> </w:t>
      </w:r>
      <w:r>
        <w:t xml:space="preserve">2026-08-26 was too narrow.</w:t>
      </w:r>
    </w:p>
    <w:p>
      <w:pPr>
        <w:pStyle w:val="BodyText"/>
      </w:pPr>
      <w:r>
        <w:rPr>
          <w:b/>
          <w:bCs/>
        </w:rPr>
        <w:t xml:space="preserve">2.2 The assessment used N = 5 bins where the method’s own rule gives 20.</w:t>
      </w:r>
      <w:r>
        <w:t xml:space="preserve"> </w:t>
      </w:r>
      <w:r>
        <w:rPr>
          <w:rStyle w:val="VerbatimChar"/>
        </w:rPr>
        <w:t xml:space="preserve">run_quadris.assess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n_bins=5</w:t>
      </w:r>
      <w:r>
        <w:t xml:space="preserve">, correct when the reference was 100–200 seeds and</w:t>
      </w:r>
      <w:r>
        <w:t xml:space="preserve"> </w:t>
      </w:r>
      <w:r>
        <w:t xml:space="preserve">never revisited at full population. Quantified rather than simply fixed, because the sweep</w:t>
      </w:r>
      <w:r>
        <w:t xml:space="preserve"> </w:t>
      </w:r>
      <w:r>
        <w:t xml:space="preserve">showed N = 20 is unusable here:</w:t>
      </w:r>
      <w:r>
        <w:t xml:space="preserve"> </w:t>
      </w:r>
      <w:r>
        <w:rPr>
          <w:rStyle w:val="VerbatimChar"/>
        </w:rPr>
        <w:t xml:space="preserve">replication/causation/bin_sensitivity.py</w:t>
      </w:r>
      <w:r>
        <w:t xml:space="preserve">, results in</w:t>
      </w:r>
      <w:r>
        <w:t xml:space="preserve"> </w:t>
      </w:r>
      <w:r>
        <w:rPr>
          <w:rStyle w:val="VerbatimChar"/>
        </w:rPr>
        <w:t xml:space="preserve">docs/crash_causation_results.md</w:t>
      </w:r>
      <w:r>
        <w:t xml:space="preserve"> </w:t>
      </w:r>
      <w:r>
        <w:t xml:space="preserve">§4.4.</w:t>
      </w:r>
    </w:p>
    <w:bookmarkEnd w:id="11"/>
    <w:bookmarkStart w:id="12" w:name="findings"/>
    <w:p>
      <w:pPr>
        <w:pStyle w:val="Heading2"/>
      </w:pPr>
      <w:r>
        <w:t xml:space="preserve">3 Findings</w:t>
      </w:r>
    </w:p>
    <w:p>
      <w:pPr>
        <w:pStyle w:val="FirstParagraph"/>
      </w:pPr>
      <w:r>
        <w:rPr>
          <w:b/>
          <w:bCs/>
        </w:rPr>
        <w:t xml:space="preserve">3.1 The ROPE was unpassable, for reasons unrelated to the model.</w:t>
      </w:r>
      <w:r>
        <w:t xml:space="preserve"> </w:t>
      </w:r>
      <w:r>
        <w:t xml:space="preserve">A null calibration —</w:t>
      </w:r>
      <w:r>
        <w:t xml:space="preserve"> </w:t>
      </w:r>
      <w:r>
        <w:t xml:space="preserve">comparing the reference with itself — showed the original configuration could not be passed</w:t>
      </w:r>
      <w:r>
        <w:t xml:space="preserve"> </w:t>
      </w:r>
      <w:r>
        <w:t xml:space="preserve">by a model that is exactly right. Three causes compounded: uniform weights applied a</w:t>
      </w:r>
      <w:r>
        <w:t xml:space="preserve"> </w:t>
      </w:r>
      <w:r>
        <w:t xml:space="preserve">tolerance anchored to a 2% injury-risk baseline that our seeds never approach; the bootstrap</w:t>
      </w:r>
      <w:r>
        <w:t xml:space="preserve"> </w:t>
      </w:r>
      <w:r>
        <w:t xml:space="preserve">defect above; and treating the reference as a sample. Settling decision 1 drops the noise</w:t>
      </w:r>
      <w:r>
        <w:t xml:space="preserve"> </w:t>
      </w:r>
      <w:r>
        <w:t xml:space="preserve">floor from 0.177 to about</w:t>
      </w:r>
      <w:r>
        <w:t xml:space="preserve"> </w:t>
      </w:r>
      <w:r>
        <w:rPr>
          <w:b/>
          <w:bCs/>
        </w:rPr>
        <w:t xml:space="preserve">0.021</w:t>
      </w:r>
      <w:r>
        <w:t xml:space="preserve">, at which point the verdicts describe the model.</w:t>
      </w:r>
    </w:p>
    <w:p>
      <w:pPr>
        <w:pStyle w:val="BodyText"/>
      </w:pPr>
      <w:r>
        <w:rPr>
          <w:b/>
          <w:bCs/>
        </w:rPr>
        <w:t xml:space="preserve">3.2 Choosing the bin-weight anchor P0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choosing θthd.</w:t>
      </w:r>
      <w:r>
        <w:t xml:space="preserve"> </w:t>
      </w:r>
      <w:r>
        <w:t xml:space="preserve">They are one degree of freedom,</w:t>
      </w:r>
      <w:r>
        <w:t xml:space="preserve"> </w:t>
      </w:r>
      <w:r>
        <w:t xml:space="preserve">not two, since P0 rescales every weight by a constant and θ is linear in ω. Only the weight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independent, and on our data it moves θ by 7%. This is why decision 3 is coherent</w:t>
      </w:r>
      <w:r>
        <w:t xml:space="preserve"> </w:t>
      </w:r>
      <w:r>
        <w:t xml:space="preserve">with decision 2 rather than an independent choice. (</w:t>
      </w:r>
      <w:r>
        <w:rPr>
          <w:rStyle w:val="VerbatimChar"/>
        </w:rPr>
        <w:t xml:space="preserve">equivalence_rope_note.md</w:t>
      </w:r>
      <w:r>
        <w:t xml:space="preserve"> </w:t>
      </w:r>
      <w:r>
        <w:t xml:space="preserve">§4.1)</w:t>
      </w:r>
    </w:p>
    <w:p>
      <w:pPr>
        <w:pStyle w:val="BodyText"/>
      </w:pPr>
      <w:r>
        <w:rPr>
          <w:b/>
          <w:bCs/>
        </w:rPr>
        <w:t xml:space="preserve">3.3 θ and Θ do not bound the weighted aggregate.</w:t>
      </w:r>
      <w:r>
        <w:t xml:space="preserve"> </w:t>
      </w:r>
      <w:r>
        <w:t xml:space="preserve">They constrain only how mass is</w:t>
      </w:r>
      <w:r>
        <w:t xml:space="preserve"> </w:t>
      </w:r>
      <w:r>
        <w:t xml:space="preserve">allocated between bins; the outer bins are open-ended. Condition B’s actual mean injury risk</w:t>
      </w:r>
      <w:r>
        <w:t xml:space="preserve"> </w:t>
      </w:r>
      <w:r>
        <w:t xml:space="preserve">is +12.6% while its binned approximation is −2.7%, the gap sitting almost entirely in the</w:t>
      </w:r>
      <w:r>
        <w:t xml:space="preserve"> </w:t>
      </w:r>
      <w:r>
        <w:t xml:space="preserve">top band, where B’s crashes average 0.0213 against the reference’s 0.01615. (§3.2)</w:t>
      </w:r>
    </w:p>
    <w:p>
      <w:pPr>
        <w:pStyle w:val="BodyText"/>
      </w:pPr>
      <w:r>
        <w:rPr>
          <w:b/>
          <w:bCs/>
        </w:rPr>
        <w:t xml:space="preserve">3.4 Severity and response timing are near-independent in this population.</w:t>
      </w:r>
      <w:r>
        <w:t xml:space="preserve"> </w:t>
      </w:r>
      <w:r>
        <w:t xml:space="preserve">Conditions B</w:t>
      </w:r>
      <w:r>
        <w:t xml:space="preserve"> </w:t>
      </w:r>
      <w:r>
        <w:t xml:space="preserve">and C differ 4.7-fold in crash rate yet their severity quartiles agree to 0.3 m/s; 71% of</w:t>
      </w:r>
      <w:r>
        <w:t xml:space="preserve"> </w:t>
      </w:r>
      <w:r>
        <w:t xml:space="preserve">impact-speed variance is between-seed. Response timing decides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crashes happen;</w:t>
      </w:r>
      <w:r>
        <w:t xml:space="preserve"> </w:t>
      </w:r>
      <w:r>
        <w:t xml:space="preserve">the scenario and whether the driver brakes at all decide</w:t>
      </w:r>
      <w:r>
        <w:t xml:space="preserve"> </w:t>
      </w:r>
      <w:r>
        <w:rPr>
          <w:i/>
          <w:iCs/>
        </w:rPr>
        <w:t xml:space="preserve">how hard</w:t>
      </w:r>
      <w:r>
        <w:t xml:space="preserve">. Consequence worth</w:t>
      </w:r>
      <w:r>
        <w:t xml:space="preserve"> </w:t>
      </w:r>
      <w:r>
        <w:t xml:space="preserve">carrying:</w:t>
      </w:r>
      <w:r>
        <w:t xml:space="preserve"> </w:t>
      </w:r>
      <w:r>
        <w:rPr>
          <w:b/>
          <w:bCs/>
        </w:rPr>
        <w:t xml:space="preserve">a driver model validated only on crash severity distributions is close to</w:t>
      </w:r>
      <w:r>
        <w:rPr>
          <w:b/>
          <w:bCs/>
        </w:rPr>
        <w:t xml:space="preserve"> </w:t>
      </w:r>
      <w:r>
        <w:rPr>
          <w:b/>
          <w:bCs/>
        </w:rPr>
        <w:t xml:space="preserve">unconstrained in its response timing.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docs/severity_vs_timing.md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3.5 θ misreads three of the four metrics.</w:t>
      </w:r>
      <w:r>
        <w:t xml:space="preserve"> </w:t>
      </w:r>
      <w:r>
        <w:t xml:space="preserve">It assumes the reference can be cut into N</w:t>
      </w:r>
      <w:r>
        <w:t xml:space="preserve"> </w:t>
      </w:r>
      <w:r>
        <w:t xml:space="preserve">equal pieces. Severity is smooth, so θ = 0.148 is meaningful.</w:t>
      </w:r>
      <w:r>
        <w:t xml:space="preserve"> </w:t>
      </w:r>
      <w:r>
        <w:rPr>
          <w:rStyle w:val="VerbatimChar"/>
        </w:rPr>
        <w:t xml:space="preserve">t_nr</w:t>
      </w:r>
      <w:r>
        <w:t xml:space="preserve"> </w:t>
      </w:r>
      <w:r>
        <w:t xml:space="preserve">lives on a 0.05 s</w:t>
      </w:r>
      <w:r>
        <w:t xml:space="preserve"> </w:t>
      </w:r>
      <w:r>
        <w:t xml:space="preserve">lattice with 25 distinct reference values.</w:t>
      </w:r>
      <w:r>
        <w:t xml:space="preserve"> </w:t>
      </w:r>
      <w:r>
        <w:rPr>
          <w:rStyle w:val="VerbatimChar"/>
        </w:rPr>
        <w:t xml:space="preserve">a_f,min</w:t>
      </w:r>
      <w:r>
        <w:t xml:space="preserve"> </w:t>
      </w:r>
      <w:r>
        <w:t xml:space="preserve">carries a 48% atom at zero that</w:t>
      </w:r>
      <w:r>
        <w:t xml:space="preserve"> </w:t>
      </w:r>
      <w:r>
        <w:t xml:space="preserve">collapses two of five quantile edges onto the same point, producing θ = 1.058 mechanically.</w:t>
      </w:r>
      <w:r>
        <w:t xml:space="preserve"> </w:t>
      </w:r>
      <w:r>
        <w:t xml:space="preserve">On interpretable bins the non-braking share agrees to 4.6%, and on the weighted mean</w:t>
      </w:r>
      <w:r>
        <w:t xml:space="preserve"> </w:t>
      </w:r>
      <w:r>
        <w:t xml:space="preserve">condition B is within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while the CBM control over-brakes by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— a far sharper</w:t>
      </w:r>
      <w:r>
        <w:t xml:space="preserve"> </w:t>
      </w:r>
      <w:r>
        <w:t xml:space="preserve">separation than θ ever showed.</w:t>
      </w:r>
    </w:p>
    <w:p>
      <w:pPr>
        <w:pStyle w:val="BodyText"/>
      </w:pPr>
      <w:r>
        <w:rPr>
          <w:b/>
          <w:bCs/>
        </w:rPr>
        <w:t xml:space="preserve">3.6 The B-versus-C ordering is statistically solid.</w:t>
      </w:r>
      <w:r>
        <w:t xml:space="preserve"> </w:t>
      </w:r>
      <w:r>
        <w:t xml:space="preserve">With the corrected wider intervals</w:t>
      </w:r>
      <w:r>
        <w:t xml:space="preserve"> </w:t>
      </w:r>
      <w:r>
        <w:t xml:space="preserve">the marginal HDIs overlap, which would naively suggest no separation. As a paired difference</w:t>
      </w:r>
      <w:r>
        <w:t xml:space="preserve"> </w:t>
      </w:r>
      <w:r>
        <w:t xml:space="preserve">with a shared reference draw: θ_C − θ_B = 0.061, 95% HDI [0.037, 0.107], same sign on every</w:t>
      </w:r>
      <w:r>
        <w:t xml:space="preserve"> </w:t>
      </w:r>
      <w:r>
        <w:t xml:space="preserve">resample. (</w:t>
      </w:r>
      <w:r>
        <w:rPr>
          <w:rStyle w:val="VerbatimChar"/>
        </w:rPr>
        <w:t xml:space="preserve">crash_causation_results.md</w:t>
      </w:r>
      <w:r>
        <w:t xml:space="preserve"> </w:t>
      </w:r>
      <w:r>
        <w:t xml:space="preserve">§4.3b-ii)</w:t>
      </w:r>
      <w:r>
        <w:t xml:space="preserve"> </w:t>
      </w:r>
      <w:r>
        <w:rPr>
          <w:i/>
          <w:iCs/>
        </w:rPr>
        <w:t xml:space="preserve">[Corrected 2026-08-27: that analysis held both synthetic sides fixed and overstated the</w:t>
      </w:r>
      <w:r>
        <w:rPr>
          <w:i/>
          <w:iCs/>
        </w:rPr>
        <w:t xml:space="preserve"> </w:t>
      </w:r>
      <w:r>
        <w:rPr>
          <w:i/>
          <w:iCs/>
        </w:rPr>
        <w:t xml:space="preserve">certainty. With the synthetic sides resampled, P(θ_C &gt; θ_B) ≈ 0.97 and the HDI grazes zero</w:t>
      </w:r>
      <w:r>
        <w:rPr>
          <w:i/>
          <w:iCs/>
        </w:rPr>
        <w:t xml:space="preserve"> </w:t>
      </w:r>
      <w:r>
        <w:rPr>
          <w:i/>
          <w:iCs/>
        </w:rPr>
        <w:t xml:space="preserve">— strong support, not unanimity. Committed script: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replication/causation/paired_difference.py</w:t>
      </w:r>
      <w:r>
        <w:rPr>
          <w:i/>
          <w:iCs/>
        </w:rPr>
        <w:t xml:space="preserve">; revised text in results doc §4.3b-ii.]</w:t>
      </w:r>
    </w:p>
    <w:p>
      <w:pPr>
        <w:pStyle w:val="BodyText"/>
      </w:pPr>
      <w:r>
        <w:rPr>
          <w:b/>
          <w:bCs/>
        </w:rPr>
        <w:t xml:space="preserve">3.7 Where the study now stands.</w:t>
      </w:r>
      <w:r>
        <w:t xml:space="preserve"> </w:t>
      </w:r>
      <w:r>
        <w:t xml:space="preserve">Neither condition reaches practical equivalence at a</w:t>
      </w:r>
      <w:r>
        <w:t xml:space="preserve"> </w:t>
      </w:r>
      <w:r>
        <w:t xml:space="preserve">defensible tolerance — B misses at 10% on its interval’s upper end, C on every reading. The</w:t>
      </w:r>
      <w:r>
        <w:t xml:space="preserve"> </w:t>
      </w:r>
      <w:r>
        <w:t xml:space="preserve">gain from this arc is that the miss is now a statement about the model rather than about the</w:t>
      </w:r>
      <w:r>
        <w:t xml:space="preserve"> </w:t>
      </w:r>
      <w:r>
        <w:t xml:space="preserve">instrument.</w:t>
      </w:r>
    </w:p>
    <w:bookmarkEnd w:id="12"/>
    <w:bookmarkStart w:id="13" w:name="the-new-data-and-the-cut-in-workstream"/>
    <w:p>
      <w:pPr>
        <w:pStyle w:val="Heading2"/>
      </w:pPr>
      <w:r>
        <w:t xml:space="preserve">4 The new data, and the cut-in workstream</w:t>
      </w:r>
    </w:p>
    <w:p>
      <w:pPr>
        <w:pStyle w:val="FirstParagraph"/>
      </w:pPr>
      <w:r>
        <w:rPr>
          <w:b/>
          <w:bCs/>
        </w:rPr>
        <w:t xml:space="preserve">What arrived.</w:t>
      </w:r>
      <w:r>
        <w:t xml:space="preserve"> </w:t>
      </w:r>
      <w:r>
        <w:rPr>
          <w:rStyle w:val="VerbatimChar"/>
        </w:rPr>
        <w:t xml:space="preserve">external/01_studies/</w:t>
      </w:r>
      <w:r>
        <w:t xml:space="preserve"> </w:t>
      </w:r>
      <w:r>
        <w:t xml:space="preserve">— a crowdsourced clip-rating and button-press study,</w:t>
      </w:r>
      <w:r>
        <w:t xml:space="preserve"> </w:t>
      </w:r>
      <w:r>
        <w:t xml:space="preserve">80 participants, four scenarios, 67 stimulus kinematic traces at 10 Hz. Described in the new</w:t>
      </w:r>
      <w:r>
        <w:t xml:space="preserve"> </w:t>
      </w:r>
      <w:r>
        <w:t xml:space="preserve">handbook appendix, chapter 15. Jonas’s own CZB position paper arrived alongside at</w:t>
      </w:r>
      <w:r>
        <w:t xml:space="preserve"> </w:t>
      </w:r>
      <w:r>
        <w:rPr>
          <w:rStyle w:val="VerbatimChar"/>
        </w:rPr>
        <w:t xml:space="preserve">external/QUADRARUM/Bärgman_On_CZB_as_basis_for_ADAS_adaptation 20260501.docx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 data-quality findings not in its documentation</w:t>
      </w:r>
      <w:r>
        <w:t xml:space="preserve">, all verified against the traces:</w:t>
      </w:r>
      <w:r>
        <w:t xml:space="preserve"> </w:t>
      </w:r>
      <w:r>
        <w:rPr>
          <w:rStyle w:val="VerbatimChar"/>
        </w:rPr>
        <w:t xml:space="preserve">Acceleration_mps2</w:t>
      </w:r>
      <w:r>
        <w:t xml:space="preserve"> </w:t>
      </w:r>
      <w:r>
        <w:t xml:space="preserve">is unsigned and its definition could not be established (do not use it;</w:t>
      </w:r>
      <w:r>
        <w:t xml:space="preserve"> </w:t>
      </w:r>
      <w:r>
        <w:t xml:space="preserve">differentiate</w:t>
      </w:r>
      <w:r>
        <w:t xml:space="preserve"> </w:t>
      </w:r>
      <w:r>
        <w:rPr>
          <w:rStyle w:val="VerbatimChar"/>
        </w:rPr>
        <w:t xml:space="preserve">Speed_mps</w:t>
      </w:r>
      <w:r>
        <w:t xml:space="preserve">); the first and last frames are simulator teardown artifacts (~8.5%</w:t>
      </w:r>
      <w:r>
        <w:t xml:space="preserve"> </w:t>
      </w:r>
      <w:r>
        <w:t xml:space="preserve">of rows); truck bounding boxes are broken (</w:t>
      </w:r>
      <w:r>
        <w:rPr>
          <w:rStyle w:val="VerbatimChar"/>
        </w:rPr>
        <w:t xml:space="preserve">Length_m = 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 the dataset suits the method.</w:t>
      </w:r>
      <w:r>
        <w:t xml:space="preserve"> </w:t>
      </w:r>
      <w:r>
        <w:t xml:space="preserve">The ego vehicle never responds — it holds a rigorously</w:t>
      </w:r>
      <w:r>
        <w:t xml:space="preserve"> </w:t>
      </w:r>
      <w:r>
        <w:t xml:space="preserve">constant speed through the cut-in clips — so the comfort-zone field along a clip is a fixed</w:t>
      </w:r>
      <w:r>
        <w:t xml:space="preserve"> </w:t>
      </w:r>
      <w:r>
        <w:t xml:space="preserve">function of time, computable once per stimulus and reused for every participant. The</w:t>
      </w:r>
      <w:r>
        <w:t xml:space="preserve"> </w:t>
      </w:r>
      <w:r>
        <w:t xml:space="preserve">fixed-clip design samples the response-time</w:t>
      </w:r>
      <w:r>
        <w:t xml:space="preserve"> </w:t>
      </w:r>
      <w:r>
        <w:rPr>
          <w:b/>
          <w:bCs/>
        </w:rPr>
        <w:t xml:space="preserve">CDF</w:t>
      </w:r>
      <w:r>
        <w:t xml:space="preserve"> </w:t>
      </w:r>
      <w:r>
        <w:t xml:space="preserve">at six known truncation points; the</w:t>
      </w:r>
      <w:r>
        <w:t xml:space="preserve"> </w:t>
      </w:r>
      <w:r>
        <w:t xml:space="preserve">button design samples the</w:t>
      </w:r>
      <w:r>
        <w:t xml:space="preserve"> </w:t>
      </w:r>
      <w:r>
        <w:rPr>
          <w:b/>
          <w:bCs/>
        </w:rPr>
        <w:t xml:space="preserve">density</w:t>
      </w:r>
      <w:r>
        <w:t xml:space="preserve">. One accumulator predicts both.</w:t>
      </w:r>
    </w:p>
    <w:p>
      <w:pPr>
        <w:pStyle w:val="BodyText"/>
      </w:pPr>
      <w:r>
        <w:rPr>
          <w:b/>
          <w:bCs/>
        </w:rPr>
        <w:t xml:space="preserve">A cross-paradigm check worth knowing about.</w:t>
      </w:r>
      <w:r>
        <w:t xml:space="preserve"> </w:t>
      </w:r>
      <w:r>
        <w:t xml:space="preserve">P(intervene | clip ends at T) should equal</w:t>
      </w:r>
      <w:r>
        <w:t xml:space="preserve"> </w:t>
      </w:r>
      <w:r>
        <w:t xml:space="preserve">P(press ≤ T). It holds within 0.06 at high criticality and shows a systematic excess of early</w:t>
      </w:r>
      <w:r>
        <w:t xml:space="preserve"> </w:t>
      </w:r>
      <w:r>
        <w:t xml:space="preserve">pressing elsewhere, up to +0.26 at intermediate criticality — matching Jonas’s documented</w:t>
      </w:r>
      <w:r>
        <w:t xml:space="preserve"> </w:t>
      </w:r>
      <w:r>
        <w:t xml:space="preserve">concern about satisficing in the button paradigm, and now quantified.</w:t>
      </w:r>
    </w:p>
    <w:p>
      <w:pPr>
        <w:pStyle w:val="BodyText"/>
      </w:pPr>
      <w:r>
        <w:rPr>
          <w:b/>
          <w:bCs/>
        </w:rPr>
        <w:t xml:space="preserve">The cut-in scenario is started, not finished.</w:t>
      </w:r>
      <w:r>
        <w:t xml:space="preserve"> </w:t>
      </w:r>
      <w:r>
        <w:rPr>
          <w:rStyle w:val="VerbatimChar"/>
        </w:rPr>
        <w:t xml:space="preserve">src/comfortzone/cutin.py</w:t>
      </w:r>
      <w:r>
        <w:t xml:space="preserve"> </w:t>
      </w:r>
      <w:r>
        <w:t xml:space="preserve">loads and</w:t>
      </w:r>
      <w:r>
        <w:t xml:space="preserve"> </w:t>
      </w:r>
      <w:r>
        <w:t xml:space="preserve">conditions the traces, assigns vehicle roles geometrically, and computes candidate</w:t>
      </w:r>
      <w:r>
        <w:t xml:space="preserve"> </w:t>
      </w:r>
      <w:r>
        <w:t xml:space="preserve">predictors. Running it produced the arc’s most useful negative result:</w:t>
      </w:r>
      <w:r>
        <w:t xml:space="preserve"> </w:t>
      </w:r>
      <w:r>
        <w:rPr>
          <w:b/>
          <w:bCs/>
        </w:rPr>
        <w:t xml:space="preserve">with released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 the model does not discriminate TTC4 from TTC8 at all.</w:t>
      </w:r>
      <w:r>
        <w:t xml:space="preserve"> </w:t>
      </w:r>
      <w:r>
        <w:t xml:space="preserve">Decomposing the six</w:t>
      </w:r>
      <w:r>
        <w:t xml:space="preserve"> </w:t>
      </w:r>
      <w:r>
        <w:t xml:space="preserve">preference terms shows why — the speed term sits at a constant −483 because the default</w:t>
      </w:r>
      <w:r>
        <w:t xml:space="preserve"> </w:t>
      </w:r>
      <w:r>
        <w:t xml:space="preserve">desired speed is 15 m/s against a 30.5 m/s stimulus (a staging error, fix by setting it from</w:t>
      </w:r>
      <w:r>
        <w:t xml:space="preserve"> </w:t>
      </w:r>
      <w:r>
        <w:t xml:space="preserve">the clip), and the safety term is a saturated binary step, identical at a 10 m and a 21 m</w:t>
      </w:r>
      <w:r>
        <w:t xml:space="preserve"> </w:t>
      </w:r>
      <w:r>
        <w:t xml:space="preserve">gap, because both cut-ins end under 0.75 s headway. Only the collision term discriminates,</w:t>
      </w:r>
      <w:r>
        <w:t xml:space="preserve"> </w:t>
      </w:r>
      <w:r>
        <w:t xml:space="preserve">and it is two orders of magnitude smaller.</w:t>
      </w:r>
    </w:p>
    <w:p>
      <w:pPr>
        <w:pStyle w:val="BodyText"/>
      </w:pPr>
      <w:r>
        <w:rPr>
          <w:b/>
          <w:bCs/>
        </w:rPr>
        <w:t xml:space="preserve">The open design question</w:t>
      </w:r>
      <w:r>
        <w:t xml:space="preserve">, and the thing to settle before any fitting: lane entry must</w:t>
      </w:r>
      <w:r>
        <w:t xml:space="preserve"> </w:t>
      </w:r>
      <w:r>
        <w:t xml:space="preserve">become continuous. Proposed in handbook ch. 04 — lateral</w:t>
      </w:r>
      <w:r>
        <w:t xml:space="preserve"> </w:t>
      </w:r>
      <w:r>
        <w:rPr>
          <w:b/>
          <w:bCs/>
        </w:rPr>
        <w:t xml:space="preserve">overlap fraction</w:t>
      </w:r>
      <w:r>
        <w:t xml:space="preserve"> </w:t>
      </w:r>
      <w:r>
        <w:t xml:space="preserve">for the present</w:t>
      </w:r>
      <w:r>
        <w:t xml:space="preserve"> </w:t>
      </w:r>
      <w:r>
        <w:t xml:space="preserve">state, and for the predictive half the comparison of</w:t>
      </w:r>
      <w:r>
        <w:t xml:space="preserve"> </w:t>
      </w:r>
      <w:r>
        <w:rPr>
          <w:b/>
          <w:bCs/>
        </w:rPr>
        <w:t xml:space="preserve">time-to-lateral-overlap</w:t>
      </w:r>
      <w:r>
        <w:t xml:space="preserve"> </w:t>
      </w:r>
      <w:r>
        <w:t xml:space="preserve">against the</w:t>
      </w:r>
      <w:r>
        <w:t xml:space="preserve"> </w:t>
      </w:r>
      <w:r>
        <w:t xml:space="preserve">longitudinal TTC, since a collision requires lateral overlap to have begun by the time the</w:t>
      </w:r>
      <w:r>
        <w:t xml:space="preserve"> </w:t>
      </w:r>
      <w:r>
        <w:t xml:space="preserve">gap closes. This also explains why lane-change</w:t>
      </w:r>
      <w:r>
        <w:t xml:space="preserve"> </w:t>
      </w:r>
      <w:r>
        <w:rPr>
          <w:i/>
          <w:iCs/>
        </w:rPr>
        <w:t xml:space="preserve">duration</w:t>
      </w:r>
      <w:r>
        <w:t xml:space="preserve"> </w:t>
      </w:r>
      <w:r>
        <w:t xml:space="preserve">was not a useful predictor in the</w:t>
      </w:r>
      <w:r>
        <w:t xml:space="preserve"> </w:t>
      </w:r>
      <w:r>
        <w:t xml:space="preserve">QUADRARUM group’s own analyses: duration is a property of the manoeuvre alone, whereas what</w:t>
      </w:r>
      <w:r>
        <w:t xml:space="preserve"> </w:t>
      </w:r>
      <w:r>
        <w:t xml:space="preserve">matters is the lateral closing rate relative to the longitudinal one.</w:t>
      </w:r>
    </w:p>
    <w:bookmarkEnd w:id="13"/>
    <w:bookmarkStart w:id="14" w:name="the-czb-framing-that-was-agreed"/>
    <w:p>
      <w:pPr>
        <w:pStyle w:val="Heading2"/>
      </w:pPr>
      <w:r>
        <w:t xml:space="preserve">5 The CZB framing that was agreed</w:t>
      </w:r>
    </w:p>
    <w:p>
      <w:pPr>
        <w:pStyle w:val="FirstParagraph"/>
      </w:pPr>
      <w:r>
        <w:t xml:space="preserve">Recorded because Jonas confirmed it is the intended direction, and because it is falsifiable.</w:t>
      </w:r>
    </w:p>
    <w:p>
      <w:pPr>
        <w:pStyle w:val="BodyText"/>
      </w:pPr>
      <w:r>
        <w:t xml:space="preserve">The conventional route estimates a percentile of an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and inherits a multivariate</w:t>
      </w:r>
      <w:r>
        <w:t xml:space="preserve"> </w:t>
      </w:r>
      <w:r>
        <w:t xml:space="preserve">problem — each scenario has its own observables, and combining marginal percentiles under a</w:t>
      </w:r>
      <w:r>
        <w:t xml:space="preserve"> </w:t>
      </w:r>
      <w:r>
        <w:t xml:space="preserve">conjunction rule silently tightens the criterion (Jonas’s own document works this through and</w:t>
      </w:r>
      <w:r>
        <w:t xml:space="preserve"> </w:t>
      </w:r>
      <w:r>
        <w:t xml:space="preserve">proposes an elliptical joint-percentile fix). The active-inference route estimates a</w:t>
      </w:r>
      <w:r>
        <w:t xml:space="preserve"> </w:t>
      </w:r>
      <w:r>
        <w:t xml:space="preserve">per-driver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level on the preference field, which has already absorbed speed, gap,</w:t>
      </w:r>
      <w:r>
        <w:t xml:space="preserve"> </w:t>
      </w:r>
      <w:r>
        <w:t xml:space="preserve">closing rate and lateral position into one number, so the population distribution is</w:t>
      </w:r>
      <w:r>
        <w:t xml:space="preserve"> </w:t>
      </w:r>
      <w:r>
        <w:t xml:space="preserve">one-dimensional by construction.</w:t>
      </w:r>
    </w:p>
    <w:p>
      <w:pPr>
        <w:pStyle w:val="BodyText"/>
      </w:pPr>
      <w:r>
        <w:rPr>
          <w:b/>
          <w:bCs/>
        </w:rPr>
        <w:t xml:space="preserve">The cross-scenario transfer test is what falsifies this</w:t>
      </w:r>
      <w:r>
        <w:t xml:space="preserve">: fit the level on one scenario,</w:t>
      </w:r>
      <w:r>
        <w:t xml:space="preserve"> </w:t>
      </w:r>
      <w:r>
        <w:t xml:space="preserve">predict the other three unchanged.</w:t>
      </w:r>
      <w:r>
        <w:t xml:space="preserve"> </w:t>
      </w:r>
      <w:r>
        <w:rPr>
          <w:b/>
          <w:bCs/>
        </w:rPr>
        <w:t xml:space="preserve">If transfer fails, the fallback is the elliptical</w:t>
      </w:r>
      <w:r>
        <w:rPr>
          <w:b/>
          <w:bCs/>
        </w:rPr>
        <w:t xml:space="preserve"> </w:t>
      </w:r>
      <w:r>
        <w:rPr>
          <w:b/>
          <w:bCs/>
        </w:rPr>
        <w:t xml:space="preserve">formulation</w:t>
      </w:r>
      <w:r>
        <w:t xml:space="preserve"> </w:t>
      </w:r>
      <w:r>
        <w:t xml:space="preserve">— tracked deliberately.</w:t>
      </w:r>
    </w:p>
    <w:p>
      <w:pPr>
        <w:pStyle w:val="BodyText"/>
      </w:pPr>
      <w:r>
        <w:t xml:space="preserve">A conceptual convergence worth keeping: Jonas’s document defines the CZB as the point where</w:t>
      </w:r>
      <w:r>
        <w:t xml:space="preserve"> </w:t>
      </w:r>
      <w:r>
        <w:t xml:space="preserve">“the satisficing condition is violated … and behavioral regulation becomes necessary”</w:t>
      </w:r>
      <w:r>
        <w:t xml:space="preserve">,</w:t>
      </w:r>
      <w:r>
        <w:t xml:space="preserve"> </w:t>
      </w:r>
      <w:r>
        <w:t xml:space="preserve">which is very close to what the preference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— a specification of acceptable</w:t>
      </w:r>
      <w:r>
        <w:t xml:space="preserve"> </w:t>
      </w:r>
      <w:r>
        <w:t xml:space="preserve">outcomes rather than an optimum.</w:t>
      </w:r>
    </w:p>
    <w:p>
      <w:pPr>
        <w:pStyle w:val="BodyText"/>
      </w:pPr>
      <w:r>
        <w:t xml:space="preserve">The fitted level absorbs response bias, paradigm offset and motor latency as well as the</w:t>
      </w:r>
      <w:r>
        <w:t xml:space="preserve"> </w:t>
      </w:r>
      <w:r>
        <w:t xml:space="preserve">boundary. The design contains contrasts for most of these (the pre-onset condition identifies</w:t>
      </w:r>
      <w:r>
        <w:t xml:space="preserve"> </w:t>
      </w:r>
      <w:r>
        <w:t xml:space="preserve">response bias; the counterbalanced framing contrast identifies the framing shift; the</w:t>
      </w:r>
      <w:r>
        <w:t xml:space="preserve"> </w:t>
      </w:r>
      <w:r>
        <w:t xml:space="preserve">clip-versus-button contrast identifies the satisficing offset), but</w:t>
      </w:r>
      <w:r>
        <w:t xml:space="preserve"> </w:t>
      </w:r>
      <w:r>
        <w:rPr>
          <w:b/>
          <w:bCs/>
        </w:rPr>
        <w:t xml:space="preserve">motor latency is not</w:t>
      </w:r>
      <w:r>
        <w:rPr>
          <w:b/>
          <w:bCs/>
        </w:rPr>
        <w:t xml:space="preserve"> </w:t>
      </w:r>
      <w:r>
        <w:rPr>
          <w:b/>
          <w:bCs/>
        </w:rPr>
        <w:t xml:space="preserve">identified at all</w:t>
      </w:r>
      <w:r>
        <w:t xml:space="preserve"> </w:t>
      </w:r>
      <w:r>
        <w:t xml:space="preserve">and the paradigm offset can never be a clean modality effect because</w:t>
      </w:r>
      <w:r>
        <w:t xml:space="preserve"> </w:t>
      </w:r>
      <w:r>
        <w:t xml:space="preserve">Random always preceded Button. Documented with the open design decisions in</w:t>
      </w:r>
      <w:r>
        <w:t xml:space="preserve"> </w:t>
      </w:r>
      <w:r>
        <w:rPr>
          <w:rStyle w:val="VerbatimChar"/>
        </w:rPr>
        <w:t xml:space="preserve">docs/handbook/11_path_to_czb.md</w:t>
      </w:r>
      <w:r>
        <w:t xml:space="preserve">.</w:t>
      </w:r>
    </w:p>
    <w:bookmarkEnd w:id="14"/>
    <w:bookmarkStart w:id="15" w:name="what-changed-on-disk"/>
    <w:p>
      <w:pPr>
        <w:pStyle w:val="Heading2"/>
      </w:pPr>
      <w:r>
        <w:t xml:space="preserve">6 What changed on disk</w:t>
      </w:r>
    </w:p>
    <w:p>
      <w:pPr>
        <w:pStyle w:val="FirstParagraph"/>
      </w:pPr>
      <w:r>
        <w:rPr>
          <w:b/>
          <w:bCs/>
        </w:rPr>
        <w:t xml:space="preserve">New documents</w:t>
      </w:r>
      <w:r>
        <w:t xml:space="preserve"> </w:t>
      </w:r>
      <w:r>
        <w:t xml:space="preserve">(each with Word and PDF):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docs/equivalence_rope_note.md</w:t>
      </w:r>
      <w:r>
        <w:t xml:space="preserve"> </w:t>
      </w:r>
      <w:r>
        <w:t xml:space="preserve">— the ROPE calibration and the project’s settled</w:t>
      </w:r>
      <w:r>
        <w:t xml:space="preserve"> </w:t>
      </w:r>
      <w:r>
        <w:t xml:space="preserve">configuration. Written to be sendable to Jian Wu; §5.1 is a paper-ready methods paragraph</w:t>
      </w:r>
      <w:r>
        <w:t xml:space="preserve"> </w:t>
      </w:r>
      <w:r>
        <w:t xml:space="preserve">and §6 lists questions for the authors.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docs/severity_vs_timing.md</w:t>
      </w:r>
      <w:r>
        <w:t xml:space="preserve"> </w:t>
      </w:r>
      <w:r>
        <w:t xml:space="preserve">— why severity matches while timing and braking do not.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docs/czb_study1_data_plan.md</w:t>
      </w:r>
      <w:r>
        <w:t xml:space="preserve"> </w:t>
      </w:r>
      <w:r>
        <w:t xml:space="preserve">— the new dataset and the proposed CZB programme.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handover_2026-08-26.md</w:t>
      </w:r>
      <w:r>
        <w:t xml:space="preserve"> </w:t>
      </w:r>
      <w:r>
        <w:t xml:space="preserve">— this file.</w:t>
      </w:r>
    </w:p>
    <w:p>
      <w:pPr>
        <w:pStyle w:val="FirstParagraph"/>
      </w:pPr>
      <w:r>
        <w:rPr>
          <w:b/>
          <w:bCs/>
        </w:rPr>
        <w:t xml:space="preserve">New handbook material</w:t>
      </w:r>
      <w:r>
        <w:t xml:space="preserve"> </w:t>
      </w:r>
      <w:r>
        <w:t xml:space="preserve">(revision round</w:t>
      </w:r>
      <w:r>
        <w:t xml:space="preserve"> </w:t>
      </w:r>
      <w:r>
        <w:rPr>
          <w:rStyle w:val="VerbatimChar"/>
        </w:rPr>
        <w:t xml:space="preserve">{{R3}}</w:t>
      </w:r>
      <w:r>
        <w:t xml:space="preserve">, dark green):</w:t>
      </w:r>
    </w:p>
    <w:p>
      <w:pPr>
        <w:pStyle w:val="Compact"/>
        <w:numPr>
          <w:ilvl w:val="0"/>
          <w:numId w:val="1002"/>
        </w:numPr>
      </w:pPr>
      <w:r>
        <w:t xml:space="preserve">ch. 04 —</w:t>
      </w:r>
      <w:r>
        <w:t xml:space="preserve"> </w:t>
      </w:r>
      <w:r>
        <w:t xml:space="preserve">“The three files, line by line”</w:t>
      </w:r>
      <w:r>
        <w:t xml:space="preserve">,</w:t>
      </w:r>
      <w:r>
        <w:t xml:space="preserve"> </w:t>
      </w:r>
      <w:r>
        <w:t xml:space="preserve">“What a cut-in scenario would take”</w:t>
      </w:r>
      <w:r>
        <w:t xml:space="preserve">,</w:t>
      </w:r>
      <w:r>
        <w:t xml:space="preserve"> </w:t>
      </w:r>
      <w:r>
        <w:t xml:space="preserve">“The</w:t>
      </w:r>
      <w:r>
        <w:t xml:space="preserve"> </w:t>
      </w:r>
      <w:r>
        <w:t xml:space="preserve">cut-in’s open problem”</w:t>
      </w:r>
      <w:r>
        <w:t xml:space="preserve">, plus the flow chart</w:t>
      </w:r>
      <w:r>
        <w:t xml:space="preserve"> </w:t>
      </w:r>
      <w:r>
        <w:rPr>
          <w:rStyle w:val="VerbatimChar"/>
        </w:rPr>
        <w:t xml:space="preserve">figures/scenario_diff.png</w:t>
      </w:r>
    </w:p>
    <w:p>
      <w:pPr>
        <w:pStyle w:val="Compact"/>
        <w:numPr>
          <w:ilvl w:val="0"/>
          <w:numId w:val="1002"/>
        </w:numPr>
      </w:pPr>
      <w:r>
        <w:t xml:space="preserve">ch. 08 —</w:t>
      </w:r>
      <w:r>
        <w:t xml:space="preserve"> </w:t>
      </w:r>
      <w:r>
        <w:t xml:space="preserve">“How strict is practically equivalent? Reading a ROPE”</w:t>
      </w:r>
    </w:p>
    <w:p>
      <w:pPr>
        <w:pStyle w:val="Compact"/>
        <w:numPr>
          <w:ilvl w:val="0"/>
          <w:numId w:val="1002"/>
        </w:numPr>
      </w:pPr>
      <w:r>
        <w:t xml:space="preserve">ch. 11 —</w:t>
      </w:r>
      <w:r>
        <w:t xml:space="preserve"> </w:t>
      </w:r>
      <w:r>
        <w:t xml:space="preserve">“From one driver’s boundary to a population percentile”</w:t>
      </w:r>
      <w:r>
        <w:t xml:space="preserve">,</w:t>
      </w:r>
      <w:r>
        <w:t xml:space="preserve"> </w:t>
      </w:r>
      <w:r>
        <w:t xml:space="preserve">“What the fitted boundary</w:t>
      </w:r>
      <w:r>
        <w:t xml:space="preserve"> </w:t>
      </w:r>
      <w:r>
        <w:t xml:space="preserve">level absorbs”</w:t>
      </w:r>
      <w:r>
        <w:t xml:space="preserve">, and Levels 1–2 on the hierarchical model</w:t>
      </w:r>
    </w:p>
    <w:p>
      <w:pPr>
        <w:pStyle w:val="Compact"/>
        <w:numPr>
          <w:ilvl w:val="0"/>
          <w:numId w:val="1002"/>
        </w:numPr>
      </w:pPr>
      <w:r>
        <w:t xml:space="preserve">ch. 15 —</w:t>
      </w:r>
      <w:r>
        <w:t xml:space="preserve"> </w:t>
      </w:r>
      <w:r>
        <w:rPr>
          <w:b/>
          <w:bCs/>
        </w:rPr>
        <w:t xml:space="preserve">new appendix: the datasets</w:t>
      </w:r>
      <w:r>
        <w:t xml:space="preserve">, one subsection per dataset with its caveats</w:t>
      </w:r>
    </w:p>
    <w:p>
      <w:pPr>
        <w:pStyle w:val="FirstParagraph"/>
      </w:pPr>
      <w:r>
        <w:rPr>
          <w:b/>
          <w:bCs/>
        </w:rPr>
        <w:t xml:space="preserve">New code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src/comfortzone/cutin.py</w:t>
            </w:r>
          </w:p>
        </w:tc>
        <w:tc>
          <w:tcPr/>
          <w:p>
            <w:pPr>
              <w:pStyle w:val="Compact"/>
            </w:pPr>
            <w:r>
              <w:t xml:space="preserve">cut-in trace loading, manoeuvre-progress norm, candidate predictors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src/equivalence/test.py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resample</w:t>
            </w:r>
            <w:r>
              <w:t xml:space="preserve"> </w:t>
            </w:r>
            <w:r>
              <w:t xml:space="preserve">parameter (three schemes); aggregate diagnostics on</w:t>
            </w:r>
            <w:r>
              <w:t xml:space="preserve"> </w:t>
            </w:r>
            <w:r>
              <w:rPr>
                <w:rStyle w:val="VerbatimChar"/>
              </w:rPr>
              <w:t xml:space="preserve">EquivalenceResult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src/equivalence/report.py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aggregate_table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replication/causation/bin_sensitivity.py</w:t>
            </w:r>
          </w:p>
        </w:tc>
        <w:tc>
          <w:tcPr/>
          <w:p>
            <w:pPr>
              <w:pStyle w:val="Compact"/>
            </w:pPr>
            <w:r>
              <w:t xml:space="preserve">bin-count sweep from stored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replication/causation/severity_vs_timing.py</w:t>
            </w:r>
          </w:p>
        </w:tc>
        <w:tc>
          <w:tcPr/>
          <w:p>
            <w:pPr>
              <w:pStyle w:val="Compact"/>
            </w:pPr>
            <w:r>
              <w:t xml:space="preserve">per-bin diagnostics, atom structure, timing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replication/causation/make_dissociation_figure.py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fig_dissociation.png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fig_metric_shapes.png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docs/handbook/make_scenario_diagram.py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figures/scenario_diff.png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Regenerated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summary_fullp_abn.md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summary_bin_sensitivity_fullp_abn.md</w:t>
      </w:r>
      <w:r>
        <w:t xml:space="preserve">, and the</w:t>
      </w:r>
      <w:r>
        <w:t xml:space="preserve"> </w:t>
      </w:r>
      <w:r>
        <w:t xml:space="preserve">affected sections of</w:t>
      </w:r>
      <w:r>
        <w:t xml:space="preserve"> </w:t>
      </w:r>
      <w:r>
        <w:rPr>
          <w:rStyle w:val="VerbatimChar"/>
        </w:rPr>
        <w:t xml:space="preserve">crash_causation_results.md</w:t>
      </w:r>
      <w:r>
        <w:t xml:space="preserve">. The 100-seed sensitivity ladder and the</w:t>
      </w:r>
      <w:r>
        <w:t xml:space="preserve"> </w:t>
      </w:r>
      <w:r>
        <w:t xml:space="preserve">three non-abnormal rows of §4.3 still carry pre-correction intervals and are marked as such.</w:t>
      </w:r>
    </w:p>
    <w:bookmarkEnd w:id="15"/>
    <w:bookmarkStart w:id="16" w:name="where-i-would-pick-up"/>
    <w:p>
      <w:pPr>
        <w:pStyle w:val="Heading2"/>
      </w:pPr>
      <w:r>
        <w:t xml:space="preserve">7 Where I would pick 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 the continuous lane-entry form</w:t>
      </w:r>
      <w:r>
        <w:t xml:space="preserve"> </w:t>
      </w:r>
      <w:r>
        <w:t xml:space="preserve">(§4 above). Everything in the cut-in workstream</w:t>
      </w:r>
      <w:r>
        <w:t xml:space="preserve"> </w:t>
      </w:r>
      <w:r>
        <w:t xml:space="preserve">waits on it, and it is a modification to the authors’ preference function rather than a</w:t>
      </w:r>
      <w:r>
        <w:t xml:space="preserve"> </w:t>
      </w:r>
      <w:r>
        <w:t xml:space="preserve">parameter choice, so it needs an explicit argument.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the desired-speed staging</w:t>
      </w:r>
      <w:r>
        <w:t xml:space="preserve"> </w:t>
      </w:r>
      <w:r>
        <w:t xml:space="preserve">in the cut-in predictors — set it from the clip rather</w:t>
      </w:r>
      <w:r>
        <w:t xml:space="preserve"> </w:t>
      </w:r>
      <w:r>
        <w:t xml:space="preserve">than the default 15 m/s.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 fit</w:t>
      </w:r>
      <w:r>
        <w:t xml:space="preserve">: boundary level on the Randomized clip-based binary surface, ordered model</w:t>
      </w:r>
      <w:r>
        <w:t xml:space="preserve"> </w:t>
      </w:r>
      <w:r>
        <w:t xml:space="preserve">for comfort and dread, per-driver random effects; validate against button press times.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 transfer</w:t>
      </w:r>
      <w:r>
        <w:t xml:space="preserve">: fit on cut-in, predict LTAP, cyclist overtake and truck overtake.</w:t>
      </w:r>
    </w:p>
    <w:p>
      <w:pPr>
        <w:pStyle w:val="Compact"/>
        <w:numPr>
          <w:ilvl w:val="0"/>
          <w:numId w:val="1003"/>
        </w:numPr>
      </w:pPr>
      <w:r>
        <w:t xml:space="preserve">Standing items unchanged: Jonas’s handbook review, the Jian Wu 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docs/email_jian_draft.md</w:t>
      </w:r>
      <w:r>
        <w:t xml:space="preserve">, now with the ROPE note as a companion), the a_f,min execution</w:t>
      </w:r>
      <w:r>
        <w:t xml:space="preserve"> </w:t>
      </w:r>
      <w:r>
        <w:t xml:space="preserve">model, and the unexercised epistemic half of the gaze system.</w:t>
      </w:r>
    </w:p>
    <w:bookmarkEnd w:id="16"/>
    <w:bookmarkStart w:id="17" w:name="git-state"/>
    <w:p>
      <w:pPr>
        <w:pStyle w:val="Heading2"/>
      </w:pPr>
      <w:r>
        <w:t xml:space="preserve">8 Git state</w:t>
      </w:r>
    </w:p>
    <w:p>
      <w:pPr>
        <w:pStyle w:val="FirstParagraph"/>
      </w:pPr>
      <w:r>
        <w:t xml:space="preserve">This arc is committed as a</w:t>
      </w:r>
      <w:r>
        <w:t xml:space="preserve"> </w:t>
      </w:r>
      <w:r>
        <w:rPr>
          <w:b/>
          <w:bCs/>
        </w:rPr>
        <w:t xml:space="preserve">single commit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immediately after</w:t>
      </w:r>
      <w:r>
        <w:t xml:space="preserve"> </w:t>
      </w:r>
      <w:r>
        <w:rPr>
          <w:rStyle w:val="VerbatimChar"/>
        </w:rPr>
        <w:t xml:space="preserve">b689da1</w:t>
      </w:r>
      <w:r>
        <w:t xml:space="preserve"> </w:t>
      </w:r>
      <w:r>
        <w:t xml:space="preserve">(</w:t>
      </w:r>
      <w:r>
        <w:t xml:space="preserve">“Rewrite handover.md for the 2026-08-23 to -25 arc…”</w:t>
      </w:r>
      <w:r>
        <w:t xml:space="preserve">), which is where the previous arc</w:t>
      </w:r>
      <w:r>
        <w:t xml:space="preserve"> </w:t>
      </w:r>
      <w:r>
        <w:t xml:space="preserve">finished. One commit rather than a series, because the pieces are interdependent: the</w:t>
      </w:r>
      <w:r>
        <w:t xml:space="preserve"> </w:t>
      </w:r>
      <w:r>
        <w:t xml:space="preserve">bootstrap fix, the threshold change and the regenerated outputs are only coherent together,</w:t>
      </w:r>
      <w:r>
        <w:t xml:space="preserve"> </w:t>
      </w:r>
      <w:r>
        <w:t xml:space="preserve">and splitting them would leave intermediate commits whose numbers contradict their own</w:t>
      </w:r>
      <w:r>
        <w:t xml:space="preserve"> </w:t>
      </w:r>
      <w:r>
        <w:t xml:space="preserve">documentation. The commit covers modified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docs/crash_causation_results.md</w:t>
      </w:r>
      <w:r>
        <w:t xml:space="preserve">, handbook chapters 04/08/11,</w:t>
      </w:r>
      <w:r>
        <w:t xml:space="preserve"> </w:t>
      </w:r>
      <w:r>
        <w:rPr>
          <w:rStyle w:val="VerbatimChar"/>
        </w:rPr>
        <w:t xml:space="preserve">build_handbook.py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run_quadris.py</w:t>
      </w:r>
      <w:r>
        <w:t xml:space="preserve"> </w:t>
      </w:r>
      <w:r>
        <w:t xml:space="preserve">and the three</w:t>
      </w:r>
      <w:r>
        <w:t xml:space="preserve"> </w:t>
      </w:r>
      <w:r>
        <w:rPr>
          <w:rStyle w:val="VerbatimChar"/>
        </w:rPr>
        <w:t xml:space="preserve">src/equivalence/</w:t>
      </w:r>
      <w:r>
        <w:t xml:space="preserve"> </w:t>
      </w:r>
      <w:r>
        <w:t xml:space="preserve">modules, plus the new documents, figures,</w:t>
      </w:r>
      <w:r>
        <w:t xml:space="preserve"> </w:t>
      </w:r>
      <w:r>
        <w:t xml:space="preserve">scripts and handbook chapter 15 listed in section 6.</w:t>
      </w:r>
    </w:p>
    <w:p>
      <w:pPr>
        <w:pStyle w:val="BodyText"/>
      </w:pPr>
      <w:r>
        <w:rPr>
          <w:b/>
          <w:bCs/>
        </w:rPr>
        <w:t xml:space="preserve">A caveat about diffing against it.</w:t>
      </w:r>
      <w:r>
        <w:t xml:space="preserve"> </w:t>
      </w:r>
      <w:r>
        <w:t xml:space="preserve">Because the arc is one commit, a successor comparing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will see the</w:t>
      </w:r>
      <w:r>
        <w:t xml:space="preserve"> </w:t>
      </w:r>
      <w:r>
        <w:rPr>
          <w:i/>
          <w:iCs/>
        </w:rPr>
        <w:t xml:space="preserve">net</w:t>
      </w:r>
      <w:r>
        <w:t xml:space="preserve"> </w:t>
      </w:r>
      <w:r>
        <w:t xml:space="preserve">effect and not the sequence of corrections. Two of</w:t>
      </w:r>
      <w:r>
        <w:t xml:space="preserve"> </w:t>
      </w:r>
      <w:r>
        <w:t xml:space="preserve">those corrections matter and are easy to miss in a net diff — the weighted-bootstrap defect</w:t>
      </w:r>
      <w:r>
        <w:t xml:space="preserve"> </w:t>
      </w:r>
      <w:r>
        <w:t xml:space="preserve">(§2.1) and the threshold change from Wu’s inherited 0.10/0.05 to the derived 0.188/0.089.</w:t>
      </w:r>
      <w:r>
        <w:t xml:space="preserve"> </w:t>
      </w:r>
      <w:r>
        <w:t xml:space="preserve">Both are documented in</w:t>
      </w:r>
      <w:r>
        <w:t xml:space="preserve"> </w:t>
      </w:r>
      <w:r>
        <w:rPr>
          <w:rStyle w:val="VerbatimChar"/>
        </w:rPr>
        <w:t xml:space="preserve">docs/equivalence_rope_note.md</w:t>
      </w:r>
      <w:r>
        <w:t xml:space="preserve">; neither is visible as a separate</w:t>
      </w:r>
      <w:r>
        <w:t xml:space="preserve"> </w:t>
      </w:r>
      <w:r>
        <w:t xml:space="preserve">step in the history.</w:t>
      </w:r>
    </w:p>
    <w:p>
      <w:pPr>
        <w:pStyle w:val="BodyText"/>
      </w:pPr>
      <w:r>
        <w:t xml:space="preserve">One housekeeping note. The large</w:t>
      </w:r>
      <w:r>
        <w:t xml:space="preserve"> </w:t>
      </w:r>
      <w:r>
        <w:rPr>
          <w:rStyle w:val="VerbatimChar"/>
        </w:rPr>
        <w:t xml:space="preserve">cond_*_fullp*.csv</w:t>
      </w:r>
      <w:r>
        <w:t xml:space="preserve"> </w:t>
      </w:r>
      <w:r>
        <w:t xml:space="preserve">files remain gitignored and must be</w:t>
      </w:r>
      <w:r>
        <w:t xml:space="preserve"> </w:t>
      </w:r>
      <w:r>
        <w:t xml:space="preserve">regenerated from the commands logged in</w:t>
      </w:r>
      <w:r>
        <w:t xml:space="preserve"> </w:t>
      </w:r>
      <w:r>
        <w:rPr>
          <w:rStyle w:val="VerbatimChar"/>
        </w:rPr>
        <w:t xml:space="preserve">replication/causation/out/</w:t>
      </w:r>
      <w:r>
        <w:t xml:space="preserve"> </w:t>
      </w:r>
      <w:r>
        <w:t xml:space="preserve">before any assessment</w:t>
      </w:r>
      <w:r>
        <w:t xml:space="preserve"> </w:t>
      </w:r>
      <w:r>
        <w:t xml:space="preserve">can be re-run. Everything else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is current: all markdown, Word and PDF builds were</w:t>
      </w:r>
      <w:r>
        <w:t xml:space="preserve"> </w:t>
      </w:r>
      <w:r>
        <w:t xml:space="preserve">regenerated at the end of the arc, and no versioned</w:t>
      </w:r>
      <w:r>
        <w:t xml:space="preserve"> </w:t>
      </w:r>
      <w:r>
        <w:rPr>
          <w:rStyle w:val="VerbatimChar"/>
        </w:rPr>
        <w:t xml:space="preserve">-vN</w:t>
      </w:r>
      <w:r>
        <w:t xml:space="preserve"> </w:t>
      </w:r>
      <w:r>
        <w:t xml:space="preserve">intermediates survive.</w:t>
      </w:r>
    </w:p>
    <w:bookmarkEnd w:id="17"/>
    <w:bookmarkStart w:id="18" w:name="caveats-on-this-file"/>
    <w:p>
      <w:pPr>
        <w:pStyle w:val="Heading2"/>
      </w:pPr>
      <w:r>
        <w:t xml:space="preserve">9 Caveats on this file</w:t>
      </w:r>
    </w:p>
    <w:p>
      <w:pPr>
        <w:pStyle w:val="FirstParagraph"/>
      </w:pPr>
      <w:r>
        <w:t xml:space="preserve">Written by the session that did the work, so it inherits that session’s blind spots. Where it</w:t>
      </w:r>
      <w:r>
        <w:t xml:space="preserve"> </w:t>
      </w:r>
      <w:r>
        <w:t xml:space="preserve">disagrees with the repository, trust the repository. Two specific things a successor should</w:t>
      </w:r>
      <w:r>
        <w:t xml:space="preserve"> </w:t>
      </w:r>
      <w:r>
        <w:t xml:space="preserve">verify rather than assume: that the regenerated intervals in</w:t>
      </w:r>
      <w:r>
        <w:t xml:space="preserve"> </w:t>
      </w:r>
      <w:r>
        <w:rPr>
          <w:rStyle w:val="VerbatimChar"/>
        </w:rPr>
        <w:t xml:space="preserve">crash_causation_results.md</w:t>
      </w:r>
      <w:r>
        <w:t xml:space="preserve"> </w:t>
      </w:r>
      <w:r>
        <w:t xml:space="preserve">§4.3</w:t>
      </w:r>
      <w:r>
        <w:t xml:space="preserve"> </w:t>
      </w:r>
      <w:r>
        <w:t xml:space="preserve">match</w:t>
      </w:r>
      <w:r>
        <w:t xml:space="preserve"> </w:t>
      </w:r>
      <w:r>
        <w:rPr>
          <w:rStyle w:val="VerbatimChar"/>
        </w:rPr>
        <w:t xml:space="preserve">replication/causation/out/summary_fullp_abn.md</w:t>
      </w:r>
      <w:r>
        <w:t xml:space="preserve"> </w:t>
      </w:r>
      <w:r>
        <w:t xml:space="preserve">(they were copied by hand), and that</w:t>
      </w:r>
      <w:r>
        <w:t xml:space="preserve"> </w:t>
      </w:r>
      <w:r>
        <w:t xml:space="preserve">the cut-in module’s role assignment behaves on the truck and LTAP traces, which it has not</w:t>
      </w:r>
      <w:r>
        <w:t xml:space="preserve"> </w:t>
      </w:r>
      <w:r>
        <w:t xml:space="preserve">been tested against.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2026-08-27T06:00:57Z</dcterms:created>
  <dcterms:modified xsi:type="dcterms:W3CDTF">2026-08-27T06:00:57Z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