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czb-ellipse-a-design-note"/>
    <w:p>
      <w:pPr>
        <w:pStyle w:val="Heading1"/>
      </w:pPr>
      <w:r>
        <w:t xml:space="preserve">The CZB ellipse: a design note</w:t>
      </w:r>
    </w:p>
    <w:p>
      <w:pPr>
        <w:pStyle w:val="FirstParagraph"/>
      </w:pPr>
      <w:r>
        <w:rPr>
          <w:i/>
          <w:iCs/>
        </w:rPr>
        <w:t xml:space="preserve">2026-09-02, tier-1 session, for queue item (2) of the standing handover and for</w:t>
      </w:r>
      <w:r>
        <w:rPr>
          <w:i/>
          <w:iCs/>
        </w:rPr>
        <w:t xml:space="preserve"> </w:t>
      </w:r>
      <w:r>
        <w:rPr>
          <w:i/>
          <w:iCs/>
        </w:rPr>
        <w:t xml:space="preserve">query C.Q2. Jonas promoted the elliptical joint percentile from a comparator to a</w:t>
      </w:r>
      <w:r>
        <w:rPr>
          <w:i/>
          <w:iCs/>
        </w:rPr>
        <w:t xml:space="preserve"> </w:t>
      </w:r>
      <w:r>
        <w:rPr>
          <w:i/>
          <w:iCs/>
        </w:rPr>
        <w:t xml:space="preserve">deliverable candidate on 2026-08-29 and asked for a design note on which observables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scenario, how the Mahalanobis joint percentile is defined, and how the per-driver</w:t>
      </w:r>
      <w:r>
        <w:rPr>
          <w:i/>
          <w:iCs/>
        </w:rPr>
        <w:t xml:space="preserve"> </w:t>
      </w:r>
      <w:r>
        <w:rPr>
          <w:i/>
          <w:iCs/>
        </w:rPr>
        <w:t xml:space="preserve">trait maps onto it. This note answers those three questions, adds a fourth that the</w:t>
      </w:r>
      <w:r>
        <w:rPr>
          <w:i/>
          <w:iCs/>
        </w:rPr>
        <w:t xml:space="preserve"> </w:t>
      </w:r>
      <w:r>
        <w:rPr>
          <w:i/>
          <w:iCs/>
        </w:rPr>
        <w:t xml:space="preserve">data force (what the study data can and cannot identify about an ellipse), and ends</w:t>
      </w:r>
      <w:r>
        <w:rPr>
          <w:i/>
          <w:iCs/>
        </w:rPr>
        <w:t xml:space="preserve"> </w:t>
      </w:r>
      <w:r>
        <w:rPr>
          <w:i/>
          <w:iCs/>
        </w:rPr>
        <w:t xml:space="preserve">with three cards. Primary source for the proposal: Jonas’s QUADRARUM working document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external/QUADRARUM/Bärgman_On_CZB_as_basis_for_ADAS_adaptation 20260501.docx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May 2026, not for dissemination outside QUADRARUM; quoted here only as the project’s</w:t>
      </w:r>
      <w:r>
        <w:rPr>
          <w:i/>
          <w:iCs/>
        </w:rPr>
        <w:t xml:space="preserve"> </w:t>
      </w:r>
      <w:r>
        <w:rPr>
          <w:i/>
          <w:iCs/>
        </w:rPr>
        <w:t xml:space="preserve">own record). Nothing new is computed; every number comes from a tracked output named</w:t>
      </w:r>
      <w:r>
        <w:rPr>
          <w:i/>
          <w:iCs/>
        </w:rPr>
        <w:t xml:space="preserve"> </w:t>
      </w:r>
      <w:r>
        <w:rPr>
          <w:i/>
          <w:iCs/>
        </w:rPr>
        <w:t xml:space="preserve">where it is quoted. Opinions are marked as such.</w:t>
      </w:r>
    </w:p>
    <w:bookmarkStart w:id="9" w:name="the-answer-in-one-paragraph"/>
    <w:p>
      <w:pPr>
        <w:pStyle w:val="Heading2"/>
      </w:pPr>
      <w:r>
        <w:t xml:space="preserve">0 The answer in one paragraph</w:t>
      </w:r>
    </w:p>
    <w:p>
      <w:pPr>
        <w:pStyle w:val="FirstParagraph"/>
      </w:pPr>
      <w:r>
        <w:t xml:space="preserve">The ellipse as Jonas defined it is a joint percentile over a population of</w:t>
      </w:r>
      <w:r>
        <w:t xml:space="preserve"> </w:t>
      </w:r>
      <w:r>
        <w:rPr>
          <w:i/>
          <w:iCs/>
        </w:rPr>
        <w:t xml:space="preserve">observations</w:t>
      </w:r>
      <w:r>
        <w:t xml:space="preserve">: the boundary encloses 80% of where drivers are, and crossing it means</w:t>
      </w:r>
      <w:r>
        <w:t xml:space="preserve"> </w:t>
      </w:r>
      <w:r>
        <w:t xml:space="preserve">entering the outer 20% of the joint distribution. As the project can currently</w:t>
      </w:r>
      <w:r>
        <w:t xml:space="preserve"> </w:t>
      </w:r>
      <w:r>
        <w:t xml:space="preserve">estimate it, the ellipse is something related but not identical: a per-scenario</w:t>
      </w:r>
      <w:r>
        <w:t xml:space="preserve"> </w:t>
      </w:r>
      <w:r>
        <w:t xml:space="preserve">quadratic form in two criticality observables, whose level set is the boundary and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is the per-driver trait the stage-1 estimator already measures. The two</w:t>
      </w:r>
      <w:r>
        <w:t xml:space="preserve"> </w:t>
      </w:r>
      <w:r>
        <w:t xml:space="preserve">coincide when a population reference (the mean and covariance of accepted states) is</w:t>
      </w:r>
      <w:r>
        <w:t xml:space="preserve"> </w:t>
      </w:r>
      <w:r>
        <w:t xml:space="preserve">available, which for us means naturalistic data; on the designed study stimuli that</w:t>
      </w:r>
      <w:r>
        <w:t xml:space="preserve"> </w:t>
      </w:r>
      <w:r>
        <w:t xml:space="preserve">reference does not exist, and the ellipse’s overall scale is then confounded with the</w:t>
      </w:r>
      <w:r>
        <w:t xml:space="preserve"> </w:t>
      </w:r>
      <w:r>
        <w:t xml:space="preserve">level, so the study data can settle the ellipse’s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(the trade-off between the two</w:t>
      </w:r>
      <w:r>
        <w:t xml:space="preserve"> </w:t>
      </w:r>
      <w:r>
        <w:t xml:space="preserve">observables within a scenario) and the per-driver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(already shown to be</w:t>
      </w:r>
      <w:r>
        <w:t xml:space="preserve"> </w:t>
      </w:r>
      <w:r>
        <w:t xml:space="preserve">shared at about 0.69 of the reliability ceiling, field-free), but not the absolute</w:t>
      </w:r>
      <w:r>
        <w:t xml:space="preserve"> </w:t>
      </w:r>
      <w:r>
        <w:t xml:space="preserve">joint percentile. The way I read the evidence, the right program is therefore in three</w:t>
      </w:r>
      <w:r>
        <w:t xml:space="preserve"> </w:t>
      </w:r>
      <w:r>
        <w:t xml:space="preserve">steps: first, on the second cut-in study now, test whether a quadratic form in two</w:t>
      </w:r>
      <w:r>
        <w:t xml:space="preserve"> </w:t>
      </w:r>
      <w:r>
        <w:t xml:space="preserve">observables earns its second axis against the one-dimensional log-gap threshold that</w:t>
      </w:r>
      <w:r>
        <w:t xml:space="preserve"> </w:t>
      </w:r>
      <w:r>
        <w:t xml:space="preserve">won gate R.2 (card EL.1, no new loaders, registered fit and folds); second, once the</w:t>
      </w:r>
      <w:r>
        <w:t xml:space="preserve"> </w:t>
      </w:r>
      <w:r>
        <w:t xml:space="preserve">LTAP and truck constructions exist, map the per-driver level onto the per-scenario</w:t>
      </w:r>
      <w:r>
        <w:t xml:space="preserve"> </w:t>
      </w:r>
      <w:r>
        <w:t xml:space="preserve">forms and run the B.4 transfer with the level shared (card EL.2); third, with</w:t>
      </w:r>
      <w:r>
        <w:t xml:space="preserve"> </w:t>
      </w:r>
      <w:r>
        <w:t xml:space="preserve">naturalistic data, estimate each scenario’s population reference and compare the</w:t>
      </w:r>
      <w:r>
        <w:t xml:space="preserve"> </w:t>
      </w:r>
      <w:r>
        <w:t xml:space="preserve">percentile of</w:t>
      </w:r>
      <w:r>
        <w:t xml:space="preserve"> </w:t>
      </w:r>
      <w:r>
        <w:rPr>
          <w:i/>
          <w:iCs/>
        </w:rPr>
        <w:t xml:space="preserve">drivers’ boundaries</w:t>
      </w:r>
      <w:r>
        <w:t xml:space="preserve"> </w:t>
      </w:r>
      <w:r>
        <w:t xml:space="preserve">with the percentile of</w:t>
      </w:r>
      <w:r>
        <w:t xml:space="preserve"> </w:t>
      </w:r>
      <w:r>
        <w:rPr>
          <w:i/>
          <w:iCs/>
        </w:rPr>
        <w:t xml:space="preserve">observed states</w:t>
      </w:r>
      <w:r>
        <w:t xml:space="preserve">, which is</w:t>
      </w:r>
      <w:r>
        <w:t xml:space="preserve"> </w:t>
      </w:r>
      <w:r>
        <w:t xml:space="preserve">the multivariate form of the question Jonas’s own figure 7 asks (card EL.3). One</w:t>
      </w:r>
      <w:r>
        <w:t xml:space="preserve"> </w:t>
      </w:r>
      <w:r>
        <w:t xml:space="preserve">identity ties this to the R2.Q5 note: under a Gaussian population the ellipse’s</w:t>
      </w:r>
      <w:r>
        <w:t xml:space="preserve"> </w:t>
      </w:r>
      <w:r>
        <w:t xml:space="preserve">Mahalanobis distance is exactly residual-information surprise, so the ellipse is the</w:t>
      </w:r>
      <w:r>
        <w:t xml:space="preserve"> </w:t>
      </w:r>
      <w:r>
        <w:t xml:space="preserve">surprise family with a population reference, and the onset defined there says when the</w:t>
      </w:r>
      <w:r>
        <w:t xml:space="preserve"> </w:t>
      </w:r>
      <w:r>
        <w:t xml:space="preserve">ellipse is consulted.</w:t>
      </w:r>
    </w:p>
    <w:bookmarkEnd w:id="9"/>
    <w:bookmarkStart w:id="10" w:name="X37883adeb1810648c6d899ec7a00f3ef890db9e"/>
    <w:p>
      <w:pPr>
        <w:pStyle w:val="Heading2"/>
      </w:pPr>
      <w:r>
        <w:t xml:space="preserve">1 What was proposed, and the two populations it can refer to</w:t>
      </w:r>
    </w:p>
    <w:p>
      <w:pPr>
        <w:pStyle w:val="FirstParagraph"/>
      </w:pPr>
      <w:r>
        <w:t xml:space="preserve">Jonas’s QUADRARUM document sets the problem in one page. A univariate CZB defined as</w:t>
      </w:r>
      <w:r>
        <w:t xml:space="preserve"> </w:t>
      </w:r>
      <w:r>
        <w:t xml:space="preserve">“the 80th percentile across a population of drivers, such that crossing corresponds to</w:t>
      </w:r>
      <w:r>
        <w:t xml:space="preserve"> </w:t>
      </w:r>
      <w:r>
        <w:t xml:space="preserve">entering the upper 20% of observations”</w:t>
      </w:r>
      <w:r>
        <w:t xml:space="preserve"> </w:t>
      </w:r>
      <w:r>
        <w:t xml:space="preserve">is clear; extending it to two measures with a</w:t>
      </w:r>
      <w:r>
        <w:t xml:space="preserve"> </w:t>
      </w:r>
      <w:r>
        <w:t xml:space="preserve">marginal conjunction rule silently changes the criterion, since under independence</w:t>
      </w:r>
      <w:r>
        <w:t xml:space="preserve"> </w:t>
      </w:r>
      <w:r>
        <w:t xml:space="preserve">“P(joint crossing) = 0.2 × 0.2 = 0.04”</w:t>
      </w:r>
      <w:r>
        <w:t xml:space="preserve">. His fix is to define the crossing on the joint</w:t>
      </w:r>
      <w:r>
        <w:t xml:space="preserve"> </w:t>
      </w:r>
      <w:r>
        <w:t xml:space="preserve">distribution: an elliptical boundary</w:t>
      </w:r>
    </w:p>
    <w:p>
      <w:pPr>
        <w:pStyle w:val="BlockText"/>
      </w:pPr>
      <w:r>
        <w:t xml:space="preserve">(x − μ)ᵀ Σ⁻¹ (x − μ) = χ²</w:t>
      </w:r>
      <w:r>
        <w:t xml:space="preserve">2, 0.8</w:t>
      </w:r>
      <w:r>
        <w:t xml:space="preserve">,</w:t>
      </w:r>
    </w:p>
    <w:p>
      <w:pPr>
        <w:pStyle w:val="FirstParagraph"/>
      </w:pPr>
      <w:r>
        <w:t xml:space="preserve">“where μ is the mean vector and Σ the covariance matrix”</w:t>
      </w:r>
      <w:r>
        <w:t xml:space="preserve">, enclosing 80% of the</w:t>
      </w:r>
      <w:r>
        <w:t xml:space="preserve"> </w:t>
      </w:r>
      <w:r>
        <w:t xml:space="preserve">observations, preserving equivalence with the univariate definition, and allowing</w:t>
      </w:r>
      <w:r>
        <w:t xml:space="preserve"> </w:t>
      </w:r>
      <w:r>
        <w:t xml:space="preserve">trade-offs (</w:t>
      </w:r>
      <w:r>
        <w:t xml:space="preserve">“a more critical value in one dimension may still fall within the CZB if</w:t>
      </w:r>
      <w:r>
        <w:t xml:space="preserve"> </w:t>
      </w:r>
      <w:r>
        <w:t xml:space="preserve">accompanied by a more favorable value in another”</w:t>
      </w:r>
      <w:r>
        <w:t xml:space="preserve">). He adds that the criterion must</w:t>
      </w:r>
      <w:r>
        <w:t xml:space="preserve"> </w:t>
      </w:r>
      <w:r>
        <w:t xml:space="preserve">either be reformulated as a joint definition, relaxed per measure, or reduced to a</w:t>
      </w:r>
      <w:r>
        <w:t xml:space="preserve"> </w:t>
      </w:r>
      <w:r>
        <w:t xml:space="preserve">smaller set of dominant metrics, and that this is</w:t>
      </w:r>
      <w:r>
        <w:t xml:space="preserve"> </w:t>
      </w:r>
      <w:r>
        <w:t xml:space="preserve">“a critical part of operationalizing</w:t>
      </w:r>
      <w:r>
        <w:t xml:space="preserve"> </w:t>
      </w:r>
      <w:r>
        <w:t xml:space="preserve">the QUADRARUM framework in an ADAS/product”</w:t>
      </w:r>
      <w:r>
        <w:t xml:space="preserve">.</w:t>
      </w:r>
    </w:p>
    <w:p>
      <w:pPr>
        <w:pStyle w:val="BodyText"/>
      </w:pPr>
      <w:r>
        <w:t xml:space="preserve">The definition refers to a population, and it is worth being explicit that two</w:t>
      </w:r>
      <w:r>
        <w:t xml:space="preserve"> </w:t>
      </w:r>
      <w:r>
        <w:t xml:space="preserve">different populations could be meant, because the project’s estimator measures one and</w:t>
      </w:r>
      <w:r>
        <w:t xml:space="preserve"> </w:t>
      </w:r>
      <w:r>
        <w:t xml:space="preserve">naturalistic data would supply the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 A: observed states.</w:t>
      </w:r>
      <w:r>
        <w:t xml:space="preserve"> </w:t>
      </w:r>
      <w:r>
        <w:t xml:space="preserve">The distribution of (x, y) over routine driving,</w:t>
      </w:r>
      <w:r>
        <w:t xml:space="preserve"> </w:t>
      </w:r>
      <w:r>
        <w:t xml:space="preserve">pooled over drivers: where drivers</w:t>
      </w:r>
      <w:r>
        <w:t xml:space="preserve"> </w:t>
      </w:r>
      <w:r>
        <w:rPr>
          <w:i/>
          <w:iCs/>
        </w:rPr>
        <w:t xml:space="preserve">are</w:t>
      </w:r>
      <w:r>
        <w:t xml:space="preserve">. Its 80% ellipse is what a naturalistic</w:t>
      </w:r>
      <w:r>
        <w:t xml:space="preserve"> </w:t>
      </w:r>
      <w:r>
        <w:t xml:space="preserve">dataset would estimate directly, and it is what the QUADRARUM text reads most</w:t>
      </w:r>
      <w:r>
        <w:t xml:space="preserve"> </w:t>
      </w:r>
      <w:r>
        <w:t xml:space="preserve">naturally 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Population B: drivers’ boundary levels.</w:t>
      </w:r>
      <w:r>
        <w:t xml:space="preserve"> </w:t>
      </w:r>
      <w:r>
        <w:t xml:space="preserve">The distribution over drivers of the level</w:t>
      </w:r>
      <w:r>
        <w:t xml:space="preserve"> </w:t>
      </w:r>
      <w:r>
        <w:t xml:space="preserve">at which each stops wanting to be there: the stage-1 object c_i = exp(μ + σ</w:t>
      </w:r>
      <w:r>
        <w:t xml:space="preserve">pop</w:t>
      </w:r>
      <w:r>
        <w:t xml:space="preserve"> </w:t>
      </w:r>
      <w:r>
        <w:t xml:space="preserve">z_i)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replication/czb/out/stage1_summary.md</w:t>
      </w:r>
      <w:r>
        <w:t xml:space="preserve">, median 5 400, σ</w:t>
      </w:r>
      <w:r>
        <w:t xml:space="preserve">pop</w:t>
      </w:r>
      <w:r>
        <w:t xml:space="preserve"> </w:t>
      </w:r>
      <w:r>
        <w:t xml:space="preserve">0.200 on</w:t>
      </w:r>
      <w:r>
        <w:t xml:space="preserve"> </w:t>
      </w:r>
      <w:r>
        <w:t xml:space="preserve">the deficit axis). Its 80th percentile is the level that 80% of drivers would already</w:t>
      </w:r>
      <w:r>
        <w:t xml:space="preserve"> </w:t>
      </w:r>
      <w:r>
        <w:t xml:space="preserve">have crossed, which is the trigger semantics the roadmap has used throughout.</w:t>
      </w:r>
    </w:p>
    <w:p>
      <w:pPr>
        <w:pStyle w:val="FirstParagraph"/>
      </w:pPr>
      <w:r>
        <w:t xml:space="preserve">These are not the same thing, and Jonas’s own document says why in the univariate case:</w:t>
      </w:r>
      <w:r>
        <w:t xml:space="preserve"> </w:t>
      </w:r>
      <w:r>
        <w:t xml:space="preserve">the lowest observed headways</w:t>
      </w:r>
      <w:r>
        <w:t xml:space="preserve"> </w:t>
      </w:r>
      <w:r>
        <w:t xml:space="preserve">“are more likely to reflect responses to having crossed</w:t>
      </w:r>
      <w:r>
        <w:t xml:space="preserve"> </w:t>
      </w:r>
      <w:r>
        <w:t xml:space="preserve">the boundary, rather than the boundary itself”</w:t>
      </w:r>
      <w:r>
        <w:t xml:space="preserve">, so the tail of population A is</w:t>
      </w:r>
      <w:r>
        <w:t xml:space="preserve"> </w:t>
      </w:r>
      <w:r>
        <w:t xml:space="preserve">contaminated by post-crossing behavior, and attention should go to steady-state</w:t>
      </w:r>
      <w:r>
        <w:t xml:space="preserve"> </w:t>
      </w:r>
      <w:r>
        <w:t xml:space="preserve">following instead. His figure 7 then asks how much the difference between a</w:t>
      </w:r>
      <w:r>
        <w:t xml:space="preserve"> </w:t>
      </w:r>
      <w:r>
        <w:t xml:space="preserve">CZB-based threshold and a measured-data threshold matters against the choice of</w:t>
      </w:r>
      <w:r>
        <w:t xml:space="preserve"> </w:t>
      </w:r>
      <w:r>
        <w:t xml:space="preserve">percentile, and answers, for the illustrated case, that the percentile choice</w:t>
      </w:r>
      <w:r>
        <w:t xml:space="preserve"> </w:t>
      </w:r>
      <w:r>
        <w:t xml:space="preserve">“is</w:t>
      </w:r>
      <w:r>
        <w:t xml:space="preserve"> </w:t>
      </w:r>
      <w:r>
        <w:t xml:space="preserve">likely to have a larger effect”</w:t>
      </w:r>
      <w:r>
        <w:t xml:space="preserve">. Card C gave the project’s univariate version of that</w:t>
      </w:r>
      <w:r>
        <w:t xml:space="preserve"> </w:t>
      </w:r>
      <w:r>
        <w:t xml:space="preserve">answer on real data: one five-point step of the percentile moves the implied trigger by</w:t>
      </w:r>
      <w:r>
        <w:t xml:space="preserve"> </w:t>
      </w:r>
      <w:r>
        <w:t xml:space="preserve">about 0.27 s against about 0.53 s from the level’s own estimation uncertainty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replication/czb/out/percentile_sensitivity.md</w:t>
      </w:r>
      <w:r>
        <w:t xml:space="preserve">); the two are comparable.</w:t>
      </w:r>
    </w:p>
    <w:p>
      <w:pPr>
        <w:pStyle w:val="BodyText"/>
      </w:pPr>
      <w:r>
        <w:t xml:space="preserve">For the ellipse the distinction has a concrete consequence. Population B supplies the</w:t>
      </w:r>
      <w:r>
        <w:t xml:space="preserve"> </w:t>
      </w:r>
      <w:r>
        <w:rPr>
          <w:i/>
          <w:iCs/>
        </w:rPr>
        <w:t xml:space="preserve">level</w:t>
      </w:r>
      <w:r>
        <w:t xml:space="preserve">, and it is what the study data identify. Population A supplies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(μ and Σ, the center and the trade-off), and the study data do not contain it, because</w:t>
      </w:r>
      <w:r>
        <w:t xml:space="preserve"> </w:t>
      </w:r>
      <w:r>
        <w:t xml:space="preserve">the stimuli were designed rather than sampled. Section 3 takes that up.</w:t>
      </w:r>
    </w:p>
    <w:bookmarkEnd w:id="10"/>
    <w:bookmarkStart w:id="11" w:name="the-formulation"/>
    <w:p>
      <w:pPr>
        <w:pStyle w:val="Heading2"/>
      </w:pPr>
      <w:r>
        <w:t xml:space="preserve">2 The formulation</w:t>
      </w:r>
    </w:p>
    <w:p>
      <w:pPr>
        <w:pStyle w:val="FirstParagraph"/>
      </w:pPr>
      <w:r>
        <w:t xml:space="preserve">Per scenario s, choose two observables and write them as a criticality-oriented vector</w:t>
      </w:r>
      <w:r>
        <w:t xml:space="preserve"> </w:t>
      </w:r>
      <w:r>
        <w:t xml:space="preserve">x ∈ ℝ², larger meaning more critical on each axis (for instance inverse gap and inverse</w:t>
      </w:r>
      <w:r>
        <w:t xml:space="preserve"> </w:t>
      </w:r>
      <w:r>
        <w:t xml:space="preserve">TTC, or their logs with the sign flipped). Define the scenario’s distance</w:t>
      </w:r>
    </w:p>
    <w:p>
      <w:pPr>
        <w:pStyle w:val="BlockText"/>
      </w:pPr>
      <w:r>
        <w:t xml:space="preserve">d_s(x) = √( (x − μ_s)ᵀ Σ_s⁻¹ (x − μ_s) ),</w:t>
      </w:r>
    </w:p>
    <w:p>
      <w:pPr>
        <w:pStyle w:val="FirstParagraph"/>
      </w:pPr>
      <w:r>
        <w:t xml:space="preserve">with μ_s the comfortable reference state and Σ_s the trade-off matrix. The boundary of</w:t>
      </w:r>
      <w:r>
        <w:t xml:space="preserve"> </w:t>
      </w:r>
      <w:r>
        <w:t xml:space="preserve">driver i is the level set d_s(x) = c_i, and the response model is the stage-1 model with</w:t>
      </w:r>
      <w:r>
        <w:t xml:space="preserve"> </w:t>
      </w:r>
      <w:r>
        <w:t xml:space="preserve">d_s in place of the field:</w:t>
      </w:r>
    </w:p>
    <w:p>
      <w:pPr>
        <w:pStyle w:val="BlockText"/>
      </w:pPr>
      <w:r>
        <w:t xml:space="preserve">P(intervene) = b_s + (1 − b_s) Φ( (d_s(x) − c_i) / σ</w:t>
      </w:r>
      <w:r>
        <w:t xml:space="preserve">resp</w:t>
      </w:r>
      <w:r>
        <w:t xml:space="preserve"> </w:t>
      </w:r>
      <w:r>
        <w:t xml:space="preserve">), c_i = exp(μ_c + σ</w:t>
      </w:r>
      <w:r>
        <w:t xml:space="preserve">pop</w:t>
      </w:r>
      <w:r>
        <w:t xml:space="preserve"> </w:t>
      </w:r>
      <w:r>
        <w:t xml:space="preserve">z_i),</w:t>
      </w:r>
    </w:p>
    <w:p>
      <w:pPr>
        <w:pStyle w:val="FirstParagraph"/>
      </w:pPr>
      <w:r>
        <w:t xml:space="preserve">with the per-scenario lapse b_s free (the B.4 amendment of 2026-08-28: the pre-onset</w:t>
      </w:r>
      <w:r>
        <w:t xml:space="preserve"> </w:t>
      </w:r>
      <w:r>
        <w:t xml:space="preserve">baseline differs by scenario, 0.081 in the cut-in against 0.198 in the overtake, and is</w:t>
      </w:r>
      <w:r>
        <w:t xml:space="preserve"> </w:t>
      </w:r>
      <w:r>
        <w:t xml:space="preserve">identified by the pre-onset cells alone) and the level population (μ_c, σ</w:t>
      </w:r>
      <w:r>
        <w:t xml:space="preserve">pop</w:t>
      </w:r>
      <w:r>
        <w:t xml:space="preserve">)</w:t>
      </w:r>
      <w:r>
        <w:t xml:space="preserve"> </w:t>
      </w:r>
      <w:r>
        <w:t xml:space="preserve">shared across scenarios. That last clause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one-scalar claim, restated without a</w:t>
      </w:r>
      <w:r>
        <w:t xml:space="preserve"> </w:t>
      </w:r>
      <w:r>
        <w:t xml:space="preserve">field: one level per driver, one form per scenario.</w:t>
      </w:r>
    </w:p>
    <w:p>
      <w:pPr>
        <w:pStyle w:val="BodyText"/>
      </w:pPr>
      <w:r>
        <w:t xml:space="preserve">Two properties follow immediately. Under a Gaussian population A with the same μ_s and</w:t>
      </w:r>
      <w:r>
        <w:t xml:space="preserve"> </w:t>
      </w:r>
      <w:r>
        <w:t xml:space="preserve">Σ_s, the joint percentile of a state is the χ²₂ probability of d_s(x)², a monotone</w:t>
      </w:r>
      <w:r>
        <w:t xml:space="preserve"> </w:t>
      </w:r>
      <w:r>
        <w:t xml:space="preserve">function of d_s, so the level set at c is Jonas’s ellipse at the matching percentile,</w:t>
      </w:r>
      <w:r>
        <w:t xml:space="preserve"> </w:t>
      </w:r>
      <w:r>
        <w:t xml:space="preserve">and</w:t>
      </w:r>
      <w:r>
        <w:t xml:space="preserve"> </w:t>
      </w:r>
      <w:r>
        <w:t xml:space="preserve">“which percentile of drivers”</w:t>
      </w:r>
      <w:r>
        <w:t xml:space="preserve"> </w:t>
      </w:r>
      <w:r>
        <w:t xml:space="preserve">(population B) and</w:t>
      </w:r>
      <w:r>
        <w:t xml:space="preserve"> </w:t>
      </w:r>
      <w:r>
        <w:t xml:space="preserve">“which percentile of states”</w:t>
      </w:r>
      <w:r>
        <w:t xml:space="preserve"> </w:t>
      </w:r>
      <w:r>
        <w:t xml:space="preserve">(population A) are two readings of the same curve. And the residual-information surprise</w:t>
      </w:r>
      <w:r>
        <w:t xml:space="preserve"> </w:t>
      </w:r>
      <w:r>
        <w:t xml:space="preserve">of x under that Gaussian is ½ d_s(x)² (</w:t>
      </w:r>
      <w:r>
        <w:rPr>
          <w:rStyle w:val="VerbatimChar"/>
        </w:rPr>
        <w:t xml:space="preserve">docs/surprise_without_the_field.md</w:t>
      </w:r>
      <w:r>
        <w:t xml:space="preserve"> </w:t>
      </w:r>
      <w:r>
        <w:t xml:space="preserve">§4), so the</w:t>
      </w:r>
      <w:r>
        <w:t xml:space="preserve"> </w:t>
      </w:r>
      <w:r>
        <w:t xml:space="preserve">ellipse is the surprise family with a population reference, with the operator and the</w:t>
      </w:r>
      <w:r>
        <w:t xml:space="preserve"> </w:t>
      </w:r>
      <w:r>
        <w:t xml:space="preserve">level shared and only the reference per scenario; if a scenario’s accepted-state</w:t>
      </w:r>
      <w:r>
        <w:t xml:space="preserve"> </w:t>
      </w:r>
      <w:r>
        <w:t xml:space="preserve">distribution is not elliptical, the library evaluates the same operator under a mixture</w:t>
      </w:r>
      <w:r>
        <w:t xml:space="preserve"> </w:t>
      </w:r>
      <w:r>
        <w:t xml:space="preserve">or a particle set unchanged, and the</w:t>
      </w:r>
      <w:r>
        <w:t xml:space="preserve"> </w:t>
      </w:r>
      <w:r>
        <w:t xml:space="preserve">“ellipse”</w:t>
      </w:r>
      <w:r>
        <w:t xml:space="preserve"> </w:t>
      </w:r>
      <w:r>
        <w:t xml:space="preserve">becomes whatever level set that</w:t>
      </w:r>
      <w:r>
        <w:t xml:space="preserve"> </w:t>
      </w:r>
      <w:r>
        <w:t xml:space="preserve">reference has.</w:t>
      </w:r>
    </w:p>
    <w:bookmarkEnd w:id="11"/>
    <w:bookmarkStart w:id="12" w:name="X2396639932fdb207039ec97fb01f6f92bb00ad0"/>
    <w:p>
      <w:pPr>
        <w:pStyle w:val="Heading2"/>
      </w:pPr>
      <w:r>
        <w:t xml:space="preserve">3 What the study data can and cannot identify</w:t>
      </w:r>
    </w:p>
    <w:p>
      <w:pPr>
        <w:pStyle w:val="FirstParagraph"/>
      </w:pPr>
      <w:r>
        <w:t xml:space="preserve">This is the section the data force, and I think it decides the order of the cards.</w:t>
      </w:r>
    </w:p>
    <w:p>
      <w:pPr>
        <w:pStyle w:val="BodyText"/>
      </w:pPr>
      <w:r>
        <w:rPr>
          <w:b/>
          <w:bCs/>
        </w:rPr>
        <w:t xml:space="preserve">The scale confound.</w:t>
      </w:r>
      <w:r>
        <w:t xml:space="preserve"> </w:t>
      </w:r>
      <w:r>
        <w:t xml:space="preserve">d_s and c_i enter the response only through their ratio, so</w:t>
      </w:r>
      <w:r>
        <w:t xml:space="preserve"> </w:t>
      </w:r>
      <w:r>
        <w:t xml:space="preserve">multiplying Σ_s by a constant and dividing every c_i by its square root leaves every</w:t>
      </w:r>
      <w:r>
        <w:t xml:space="preserve"> </w:t>
      </w:r>
      <w:r>
        <w:t xml:space="preserve">prediction unchanged. Within one scenario that is harmless (the level absorbs the</w:t>
      </w:r>
      <w:r>
        <w:t xml:space="preserve"> </w:t>
      </w:r>
      <w:r>
        <w:t xml:space="preserve">scale, as it does for the field). Across scenarios it is not: if Σ_s is fitted freely</w:t>
      </w:r>
      <w:r>
        <w:t xml:space="preserve"> </w:t>
      </w:r>
      <w:r>
        <w:t xml:space="preserve">in each scenario, the shared level population can be made to fit any scenario by</w:t>
      </w:r>
      <w:r>
        <w:t xml:space="preserve"> </w:t>
      </w:r>
      <w:r>
        <w:t xml:space="preserve">rescaling, and the transfer test is empty. The level can transfer only if each</w:t>
      </w:r>
      <w:r>
        <w:t xml:space="preserve"> </w:t>
      </w:r>
      <w:r>
        <w:t xml:space="preserve">scenario’s Σ_s is pinned</w:t>
      </w:r>
      <w:r>
        <w:t xml:space="preserve"> </w:t>
      </w:r>
      <w:r>
        <w:rPr>
          <w:i/>
          <w:iCs/>
        </w:rPr>
        <w:t xml:space="preserve">without reference to that scenario’s responses</w:t>
      </w:r>
      <w:r>
        <w:t xml:space="preserve">: from a</w:t>
      </w:r>
      <w:r>
        <w:t xml:space="preserve"> </w:t>
      </w:r>
      <w:r>
        <w:t xml:space="preserve">population reference (naturalistic data, card EL.3), or, failing that, by a stated</w:t>
      </w:r>
      <w:r>
        <w:t xml:space="preserve"> </w:t>
      </w:r>
      <w:r>
        <w:t xml:space="preserve">convention that is the same in every scenario (for example, unit Mahalanobis distance</w:t>
      </w:r>
      <w:r>
        <w:t xml:space="preserve"> </w:t>
      </w:r>
      <w:r>
        <w:t xml:space="preserve">at each axis’s marginal population percentile, which again needs population A).</w:t>
      </w:r>
    </w:p>
    <w:p>
      <w:pPr>
        <w:pStyle w:val="BodyText"/>
      </w:pPr>
      <w:r>
        <w:rPr>
          <w:b/>
          <w:bCs/>
        </w:rPr>
        <w:t xml:space="preserve">The center.</w:t>
      </w:r>
      <w:r>
        <w:t xml:space="preserve"> </w:t>
      </w:r>
      <w:r>
        <w:t xml:space="preserve">μ_s is the comfortable reference. On designed stimuli it is not</w:t>
      </w:r>
      <w:r>
        <w:t xml:space="preserve"> </w:t>
      </w:r>
      <w:r>
        <w:t xml:space="preserve">estimable either; the honest study-data choice is to fix it at zero criticality (far</w:t>
      </w:r>
      <w:r>
        <w:t xml:space="preserve"> </w:t>
      </w:r>
      <w:r>
        <w:t xml:space="preserve">away, no closing), which makes d_s a norm rather than a distance from a mean, and to</w:t>
      </w:r>
      <w:r>
        <w:t xml:space="preserve"> </w:t>
      </w:r>
      <w:r>
        <w:t xml:space="preserve">say so.</w:t>
      </w:r>
    </w:p>
    <w:p>
      <w:pPr>
        <w:pStyle w:val="BodyText"/>
      </w:pPr>
      <w:r>
        <w:rPr>
          <w:b/>
          <w:bCs/>
        </w:rPr>
        <w:t xml:space="preserve">What the study data do identify.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orientation and aspect</w:t>
      </w:r>
      <w:r>
        <w:t xml:space="preserve"> </w:t>
      </w:r>
      <w:r>
        <w:t xml:space="preserve">of Σ_s, that is, the</w:t>
      </w:r>
      <w:r>
        <w:t xml:space="preserve"> </w:t>
      </w:r>
      <w:r>
        <w:t xml:space="preserve">trade-off between the two observables, wherever the design varies both. That is the</w:t>
      </w:r>
      <w:r>
        <w:t xml:space="preserve"> </w:t>
      </w:r>
      <w:r>
        <w:t xml:space="preserve">case in exactly three of the datasets in hand: the second cut-in study (a six-fold range</w:t>
      </w:r>
      <w:r>
        <w:t xml:space="preserve"> </w:t>
      </w:r>
      <w:r>
        <w:t xml:space="preserve">of gap at matched TTC, 288 post-onset cells), the LTAP design (nine PET levels at two</w:t>
      </w:r>
      <w:r>
        <w:t xml:space="preserve"> </w:t>
      </w:r>
      <w:r>
        <w:t xml:space="preserve">oncoming speeds, 18 cells, intervention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at 70 km/h at every PET level, so the</w:t>
      </w:r>
      <w:r>
        <w:t xml:space="preserve"> </w:t>
      </w:r>
      <w:r>
        <w:t xml:space="preserve">second axis carries real signal; card B.3.v2), and the CAMP rear-end replication (15</w:t>
      </w:r>
      <w:r>
        <w:t xml:space="preserve"> </w:t>
      </w:r>
      <w:r>
        <w:t xml:space="preserve">clips crossing speed with lead deceleration and with constant closing speed; 119</w:t>
      </w:r>
      <w:r>
        <w:t xml:space="preserve"> </w:t>
      </w:r>
      <w:r>
        <w:t xml:space="preserve">participants). In the first cut-in study gap and TTC are collinear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replication/czb/out/cutin2_scope.md</w:t>
      </w:r>
      <w:r>
        <w:t xml:space="preserve">), in the cyclist overtake only clearance varies</w:t>
      </w:r>
      <w:r>
        <w:t xml:space="preserve"> </w:t>
      </w:r>
      <w:r>
        <w:t xml:space="preserve">(the ego passes at a constant 14.3 m/s), and in the truck overtake only the truck’s</w:t>
      </w:r>
      <w:r>
        <w:t xml:space="preserve"> </w:t>
      </w:r>
      <w:r>
        <w:t xml:space="preserve">lateral offset varies, so in those three the ellipse reduces to a one-dimensional</w:t>
      </w:r>
      <w:r>
        <w:t xml:space="preserve"> </w:t>
      </w:r>
      <w:r>
        <w:t xml:space="preserve">threshold and has nothing to add until a second axis is varied.</w:t>
      </w:r>
    </w:p>
    <w:p>
      <w:pPr>
        <w:pStyle w:val="BodyText"/>
      </w:pPr>
      <w:r>
        <w:t xml:space="preserve">So the study program can answer</w:t>
      </w:r>
      <w:r>
        <w:t xml:space="preserve"> </w:t>
      </w:r>
      <w:r>
        <w:t xml:space="preserve">“does a second axis earn its place, and with what</w:t>
      </w:r>
      <w:r>
        <w:t xml:space="preserve"> </w:t>
      </w:r>
      <w:r>
        <w:t xml:space="preserve">trade-off”</w:t>
      </w:r>
      <w:r>
        <w:t xml:space="preserve"> </w:t>
      </w:r>
      <w:r>
        <w:t xml:space="preserve">per scenario, and</w:t>
      </w:r>
      <w:r>
        <w:t xml:space="preserve"> </w:t>
      </w:r>
      <w:r>
        <w:t xml:space="preserve">“is the per-driver level shared”</w:t>
      </w:r>
      <w:r>
        <w:t xml:space="preserve"> </w:t>
      </w:r>
      <w:r>
        <w:t xml:space="preserve">across scenarios at the</w:t>
      </w:r>
      <w:r>
        <w:t xml:space="preserve"> </w:t>
      </w:r>
      <w:r>
        <w:t xml:space="preserve">level of ordering, which the field-free trait analysis already answers at 0.69 of the</w:t>
      </w:r>
      <w:r>
        <w:t xml:space="preserve"> </w:t>
      </w:r>
      <w:r>
        <w:t xml:space="preserve">ceiling (</w:t>
      </w:r>
      <w:r>
        <w:rPr>
          <w:rStyle w:val="VerbatimChar"/>
        </w:rPr>
        <w:t xml:space="preserve">replication/czb/out/cross_scenario_consistency.md</w:t>
      </w:r>
      <w:r>
        <w:t xml:space="preserve">). It cannot answer</w:t>
      </w:r>
      <w:r>
        <w:t xml:space="preserve"> </w:t>
      </w:r>
      <w:r>
        <w:t xml:space="preserve">“what</w:t>
      </w:r>
      <w:r>
        <w:t xml:space="preserve"> </w:t>
      </w:r>
      <w:r>
        <w:t xml:space="preserve">is the 80% ellipse”</w:t>
      </w:r>
      <w:r>
        <w:t xml:space="preserve"> </w:t>
      </w:r>
      <w:r>
        <w:t xml:space="preserve">in Jonas’s population-A sense. That needs naturalistic data, and it</w:t>
      </w:r>
      <w:r>
        <w:t xml:space="preserve"> </w:t>
      </w:r>
      <w:r>
        <w:t xml:space="preserve">is the same data the roadmap already names for the paradigm offset (§4c, uses 1 and 3).</w:t>
      </w:r>
    </w:p>
    <w:bookmarkEnd w:id="12"/>
    <w:bookmarkStart w:id="13" w:name="observables-per-scenario"/>
    <w:p>
      <w:pPr>
        <w:pStyle w:val="Heading2"/>
      </w:pPr>
      <w:r>
        <w:t xml:space="preserve">4 Observables per scenario</w:t>
      </w:r>
    </w:p>
    <w:p>
      <w:pPr>
        <w:pStyle w:val="FirstParagraph"/>
      </w:pPr>
      <w:r>
        <w:t xml:space="preserve">Proposals, each with the reason and the data that would identify the trade-off. The</w:t>
      </w:r>
      <w:r>
        <w:t xml:space="preserve"> </w:t>
      </w:r>
      <w:r>
        <w:t xml:space="preserve">construction notes for B.2 and B.3 own the final choice; this note only says what the</w:t>
      </w:r>
      <w:r>
        <w:t xml:space="preserve"> </w:t>
      </w:r>
      <w:r>
        <w:t xml:space="preserve">ellipse needs from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axis 1 (longitudinal / temporal)</w:t>
            </w:r>
          </w:p>
        </w:tc>
        <w:tc>
          <w:tcPr/>
          <w:p>
            <w:pPr>
              <w:pStyle w:val="Compact"/>
            </w:pPr>
            <w:r>
              <w:t xml:space="preserve">axis 2</w:t>
            </w:r>
          </w:p>
        </w:tc>
        <w:tc>
          <w:tcPr/>
          <w:p>
            <w:pPr>
              <w:pStyle w:val="Compact"/>
            </w:pPr>
            <w:r>
              <w:t xml:space="preserve">what identifies the trade-off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cut-in (car, truck)</w:t>
            </w:r>
          </w:p>
        </w:tc>
        <w:tc>
          <w:tcPr/>
          <w:p>
            <w:pPr>
              <w:pStyle w:val="Compact"/>
            </w:pPr>
            <w:r>
              <w:t xml:space="preserve">log gap at the window end — the R.2 winner (held-out wRMSE 0.152, noise floor 0.118)</w:t>
            </w:r>
          </w:p>
        </w:tc>
        <w:tc>
          <w:tcPr/>
          <w:p>
            <w:pPr>
              <w:pStyle w:val="Compact"/>
            </w:pPr>
            <w:r>
              <w:t xml:space="preserve">log TTC, or closing speed — the second-best axis (0.168); the two are collinear in study 1 and separated in study 2</w:t>
            </w:r>
          </w:p>
        </w:tc>
        <w:tc>
          <w:tcPr/>
          <w:p>
            <w:pPr>
              <w:pStyle w:val="Compact"/>
            </w:pPr>
            <w:r>
              <w:t xml:space="preserve">study 2’s 288 cells; card EL.1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LTAP</w:t>
            </w:r>
          </w:p>
        </w:tc>
        <w:tc>
          <w:tcPr/>
          <w:p>
            <w:pPr>
              <w:pStyle w:val="Compact"/>
            </w:pPr>
            <w:r>
              <w:t xml:space="preserve">arrival-time separation at the conflict zone (the PET-like quantity of the B.3.v2 card)</w:t>
            </w:r>
          </w:p>
        </w:tc>
        <w:tc>
          <w:tcPr/>
          <w:p>
            <w:pPr>
              <w:pStyle w:val="Compact"/>
            </w:pPr>
            <w:r>
              <w:t xml:space="preserve">oncoming distance, or oncoming speed — the two-speed design shows a distance effect at matched PET</w:t>
            </w:r>
          </w:p>
        </w:tc>
        <w:tc>
          <w:tcPr/>
          <w:p>
            <w:pPr>
              <w:pStyle w:val="Compact"/>
            </w:pPr>
            <w:r>
              <w:t xml:space="preserve">the 18 LTAP cells, once B.3.v2’s loader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cyclist overtake</w:t>
            </w:r>
          </w:p>
        </w:tc>
        <w:tc>
          <w:tcPr/>
          <w:p>
            <w:pPr>
              <w:pStyle w:val="Compact"/>
            </w:pPr>
            <w:r>
              <w:t xml:space="preserve">lateral clearance</w:t>
            </w:r>
          </w:p>
        </w:tc>
        <w:tc>
          <w:tcPr/>
          <w:p>
            <w:pPr>
              <w:pStyle w:val="Compact"/>
            </w:pPr>
            <w:r>
              <w:t xml:space="preserve">passing speed, or time-to-pass</w:t>
            </w:r>
          </w:p>
        </w:tc>
        <w:tc>
          <w:tcPr/>
          <w:p>
            <w:pPr>
              <w:pStyle w:val="Compact"/>
            </w:pPr>
            <w:r>
              <w:t xml:space="preserve">not identified: speed is constant in the study; one-dimensional until a design varies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truck overtake</w:t>
            </w:r>
          </w:p>
        </w:tc>
        <w:tc>
          <w:tcPr/>
          <w:p>
            <w:pPr>
              <w:pStyle w:val="Compact"/>
            </w:pPr>
            <w:r>
              <w:t xml:space="preserve">lateral clearance to the truck</w:t>
            </w:r>
          </w:p>
        </w:tc>
        <w:tc>
          <w:tcPr/>
          <w:p>
            <w:pPr>
              <w:pStyle w:val="Compact"/>
            </w:pPr>
            <w:r>
              <w:t xml:space="preserve">the truck’s lateral movement (the Button design’s</w:t>
            </w:r>
            <w:r>
              <w:t xml:space="preserve"> </w:t>
            </w:r>
            <w:r>
              <w:rPr>
                <w:rStyle w:val="VerbatimChar"/>
              </w:rPr>
              <w:t xml:space="preserve">truck_lateral_movement</w:t>
            </w:r>
            <w:r>
              <w:t xml:space="preserve"> </w:t>
            </w:r>
            <w:r>
              <w:t xml:space="preserve">variants)</w:t>
            </w:r>
          </w:p>
        </w:tc>
        <w:tc>
          <w:tcPr/>
          <w:p>
            <w:pPr>
              <w:pStyle w:val="Compact"/>
            </w:pPr>
            <w:r>
              <w:t xml:space="preserve">five offsets; the movement variants only in the Button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rear-end (CAMP)</w:t>
            </w:r>
          </w:p>
        </w:tc>
        <w:tc>
          <w:tcPr/>
          <w:p>
            <w:pPr>
              <w:pStyle w:val="Compact"/>
            </w:pPr>
            <w:r>
              <w:t xml:space="preserve">inverse TTC (ΔV / range, the looming rate)</w:t>
            </w:r>
          </w:p>
        </w:tc>
        <w:tc>
          <w:tcPr/>
          <w:p>
            <w:pPr>
              <w:pStyle w:val="Compact"/>
            </w:pPr>
            <w:r>
              <w:t xml:space="preserve">subject-vehicle speed</w:t>
            </w:r>
          </w:p>
        </w:tc>
        <w:tc>
          <w:tcPr/>
          <w:p>
            <w:pPr>
              <w:pStyle w:val="Compact"/>
            </w:pPr>
            <w:r>
              <w:t xml:space="preserve">the 15 CAMP clips; note that Kiefer et al.’s published hard-braking model is</w:t>
            </w:r>
            <w:r>
              <w:t xml:space="preserve"> </w:t>
            </w:r>
            <w:r>
              <w:rPr>
                <w:i/>
                <w:iCs/>
              </w:rPr>
              <w:t xml:space="preserve">already</w:t>
            </w:r>
            <w:r>
              <w:t xml:space="preserve"> </w:t>
            </w:r>
            <w:r>
              <w:t xml:space="preserve">a linear rule in exactly these two, with the inverse-TTC threshold falling with speed (</w:t>
            </w:r>
            <w:r>
              <w:rPr>
                <w:rStyle w:val="VerbatimChar"/>
              </w:rPr>
              <w:t xml:space="preserve">external/01_studies/.../camp_crowdsourcing_context_v2.md</w:t>
            </w:r>
            <w:r>
              <w:t xml:space="preserve"> </w:t>
            </w:r>
            <w:r>
              <w:t xml:space="preserve">§2.7, quoting the 2005 paper)</w:t>
            </w:r>
          </w:p>
        </w:tc>
      </w:tr>
    </w:tbl>
    <w:p>
      <w:pPr>
        <w:pStyle w:val="BodyText"/>
      </w:pPr>
      <w:r>
        <w:t xml:space="preserve">Two remarks. The rear-end row is a check that the class is not exotic: the CAMP</w:t>
      </w:r>
      <w:r>
        <w:t xml:space="preserve"> </w:t>
      </w:r>
      <w:r>
        <w:t xml:space="preserve">last-second-braking model is a two-observable rule with a speed trade-off, which is the</w:t>
      </w:r>
      <w:r>
        <w:t xml:space="preserve"> </w:t>
      </w:r>
      <w:r>
        <w:t xml:space="preserve">linear cousin of the ellipse, and the crowdsourced replication puts a human press time</w:t>
      </w:r>
      <w:r>
        <w:t xml:space="preserve"> </w:t>
      </w:r>
      <w:r>
        <w:t xml:space="preserve">in each of its 15 cells; it is the natural third dataset for card EL.1’s shape question.</w:t>
      </w:r>
      <w:r>
        <w:t xml:space="preserve"> </w:t>
      </w:r>
      <w:r>
        <w:t xml:space="preserve">And the lateral axis of the cut-in is deliberately absent: the R2.Q5 note argues, from</w:t>
      </w:r>
      <w:r>
        <w:t xml:space="preserve"> </w:t>
      </w:r>
      <w:r>
        <w:t xml:space="preserve">the pipeline review’s finding that participants are flat across lane-change duration,</w:t>
      </w:r>
      <w:r>
        <w:t xml:space="preserve"> </w:t>
      </w:r>
      <w:r>
        <w:t xml:space="preserve">that the lateral motion defines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ellipse is consulted (the onset), not where</w:t>
      </w:r>
      <w:r>
        <w:t xml:space="preserve"> </w:t>
      </w:r>
      <w:r>
        <w:t xml:space="preserve">its boundary lies.</w:t>
      </w:r>
    </w:p>
    <w:bookmarkEnd w:id="13"/>
    <w:bookmarkStart w:id="14" w:name="how-the-per-driver-trait-maps-onto-it"/>
    <w:p>
      <w:pPr>
        <w:pStyle w:val="Heading2"/>
      </w:pPr>
      <w:r>
        <w:t xml:space="preserve">5 How the per-driver trait maps onto it</w:t>
      </w:r>
    </w:p>
    <w:p>
      <w:pPr>
        <w:pStyle w:val="FirstParagraph"/>
      </w:pPr>
      <w:r>
        <w:t xml:space="preserve">Mechanically, by substitution. The stage-1 estimator (</w:t>
      </w:r>
      <w:r>
        <w:rPr>
          <w:rStyle w:val="VerbatimChar"/>
        </w:rPr>
        <w:t xml:space="preserve">replication/czb/fit_stage1.py</w:t>
      </w:r>
      <w:r>
        <w:t xml:space="preserve">:</w:t>
      </w:r>
      <w:r>
        <w:t xml:space="preserve"> </w:t>
      </w:r>
      <w:r>
        <w:t xml:space="preserve">per-driver threshold with hierarchical lapse, driver effects integrated out by</w:t>
      </w:r>
      <w:r>
        <w:t xml:space="preserve"> </w:t>
      </w:r>
      <w:r>
        <w:t xml:space="preserve">quadrature, Laplace on the hyperparameters, priors validated by the recovery harness of</w:t>
      </w:r>
      <w:r>
        <w:t xml:space="preserve"> </w:t>
      </w:r>
      <w:r>
        <w:t xml:space="preserve">card A.1) takes a running-maximum covariate over the shown window; give it d_s(x)’s</w:t>
      </w:r>
      <w:r>
        <w:t xml:space="preserve"> </w:t>
      </w:r>
      <w:r>
        <w:t xml:space="preserve">running maximum instead of the deficit’s and it returns the level population on the d</w:t>
      </w:r>
      <w:r>
        <w:t xml:space="preserve"> </w:t>
      </w:r>
      <w:r>
        <w:t xml:space="preserve">scale with the same machinery, the same LOPO comparison of lapse variants, and the same</w:t>
      </w:r>
      <w:r>
        <w:t xml:space="preserve"> </w:t>
      </w:r>
      <w:r>
        <w:t xml:space="preserve">percentile table. The transfer test of card B.4 then runs unchanged in form: fit the</w:t>
      </w:r>
      <w:r>
        <w:t xml:space="preserve"> </w:t>
      </w:r>
      <w:r>
        <w:t xml:space="preserve">level population on the cut-in, free each scenario’s lapse, score each other scenario</w:t>
      </w:r>
      <w:r>
        <w:t xml:space="preserve"> </w:t>
      </w:r>
      <w:r>
        <w:t xml:space="preserve">against chance, against its own refit ceiling, and against the field-free ceiling of</w:t>
      </w:r>
      <w:r>
        <w:t xml:space="preserve"> </w:t>
      </w:r>
      <w:r>
        <w:t xml:space="preserve">0.69 of the reliable per-driver signal, with the per-scenario linear 2D rules as the</w:t>
      </w:r>
      <w:r>
        <w:t xml:space="preserve"> </w:t>
      </w:r>
      <w:r>
        <w:t xml:space="preserve">comparator on identical folds.</w:t>
      </w:r>
    </w:p>
    <w:p>
      <w:pPr>
        <w:pStyle w:val="BodyText"/>
      </w:pPr>
      <w:r>
        <w:t xml:space="preserve">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mechanical is section 3’s scale: the transfer is a test of the shared</w:t>
      </w:r>
      <w:r>
        <w:t xml:space="preserve"> </w:t>
      </w:r>
      <w:r>
        <w:t xml:space="preserve">level only if each Σ_s is pinned by the same convention before the fit. Until</w:t>
      </w:r>
      <w:r>
        <w:t xml:space="preserve"> </w:t>
      </w:r>
      <w:r>
        <w:t xml:space="preserve">naturalistic data exist, the convention I would propose, stated as an opinion, is to</w:t>
      </w:r>
      <w:r>
        <w:t xml:space="preserve"> </w:t>
      </w:r>
      <w:r>
        <w:t xml:space="preserve">normalize each scenario’s two axes by their ranges over that scenario’s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(so d</w:t>
      </w:r>
      <w:r>
        <w:t xml:space="preserve"> </w:t>
      </w:r>
      <w:r>
        <w:t xml:space="preserve">is measured in design-span units) and to fit only the orientation and aspect of Σ_s;</w:t>
      </w:r>
      <w:r>
        <w:t xml:space="preserve"> </w:t>
      </w:r>
      <w:r>
        <w:t xml:space="preserve">that is arbitrary, and the transfer result should be read with that arbitrariness in</w:t>
      </w:r>
      <w:r>
        <w:t xml:space="preserve"> </w:t>
      </w:r>
      <w:r>
        <w:t xml:space="preserve">view, but it is the same arbitrariness in every scenario and it can be replaced by a</w:t>
      </w:r>
      <w:r>
        <w:t xml:space="preserve"> </w:t>
      </w:r>
      <w:r>
        <w:t xml:space="preserve">population reference without changing the code.</w:t>
      </w:r>
    </w:p>
    <w:bookmarkEnd w:id="14"/>
    <w:bookmarkStart w:id="18" w:name="cards"/>
    <w:p>
      <w:pPr>
        <w:pStyle w:val="Heading2"/>
      </w:pPr>
      <w:r>
        <w:t xml:space="preserve">6 Cards</w:t>
      </w:r>
    </w:p>
    <w:p>
      <w:pPr>
        <w:pStyle w:val="FirstParagraph"/>
      </w:pPr>
      <w:r>
        <w:rPr>
          <w:i/>
          <w:iCs/>
        </w:rPr>
        <w:t xml:space="preserve">Standing rules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docs/czb_work_orders.md</w:t>
      </w:r>
      <w:r>
        <w:rPr>
          <w:i/>
          <w:iCs/>
        </w:rPr>
        <w:t xml:space="preserve"> </w:t>
      </w:r>
      <w:r>
        <w:rPr>
          <w:i/>
          <w:iCs/>
        </w:rPr>
        <w:t xml:space="preserve">§2 apply. None of these touches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src/aidriver/preferences.py</w:t>
      </w:r>
      <w:r>
        <w:rPr>
          <w:i/>
          <w:iCs/>
        </w:rPr>
        <w:t xml:space="preserve"> </w:t>
      </w:r>
      <w:r>
        <w:rPr>
          <w:i/>
          <w:iCs/>
        </w:rPr>
        <w:t xml:space="preserve">or the registered R.2 script.</w:t>
      </w:r>
    </w:p>
    <w:bookmarkStart w:id="15" w:name="Xa7b0309b08df1dbc62d2e173cd4446479261402"/>
    <w:p>
      <w:pPr>
        <w:pStyle w:val="Heading3"/>
      </w:pPr>
      <w:r>
        <w:t xml:space="preserve">Card EL.1 — does a second axis earn its place on the second cut-in study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Script.</w:t>
      </w:r>
      <w:r>
        <w:t xml:space="preserve"> </w:t>
      </w:r>
      <w:r>
        <w:rPr>
          <w:rStyle w:val="VerbatimChar"/>
        </w:rPr>
        <w:t xml:space="preserve">replication/czb/cutin2_two_axis.py</w:t>
      </w:r>
      <w:r>
        <w:t xml:space="preserve">, importing the registered script’s</w:t>
      </w:r>
      <w:r>
        <w:t xml:space="preserve"> </w:t>
      </w:r>
      <w:r>
        <w:rPr>
          <w:rStyle w:val="VerbatimChar"/>
        </w:rPr>
        <w:t xml:space="preserve">fit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, folds and metric; the 288 CP2–CP5 cells from</w:t>
      </w:r>
      <w:r>
        <w:t xml:space="preserve"> </w:t>
      </w:r>
      <w:r>
        <w:rPr>
          <w:rStyle w:val="VerbatimChar"/>
        </w:rPr>
        <w:t xml:space="preserve">out/cutin2_cells.csv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Models, all on identical folds, each at its better scale.</w:t>
      </w:r>
      <w:r>
        <w:t xml:space="preserve"> </w:t>
      </w:r>
      <w:r>
        <w:t xml:space="preserve">(a) the registered 1D</w:t>
      </w:r>
      <w:r>
        <w:t xml:space="preserve"> </w:t>
      </w:r>
      <w:r>
        <w:t xml:space="preserve">log-gap threshold, re-run as the reference (expected 0.152); (b) a linear 2D rule,</w:t>
      </w:r>
      <w:r>
        <w:t xml:space="preserve"> </w:t>
      </w:r>
      <w:r>
        <w:t xml:space="preserve">x = w log gap + (1 − w) log TTC with w ∈ [0, 1] fitted (one extra parameter);</w:t>
      </w:r>
    </w:p>
    <w:p>
      <w:pPr>
        <w:pStyle w:val="Compact"/>
        <w:numPr>
          <w:ilvl w:val="0"/>
          <w:numId w:val="1000"/>
        </w:numPr>
      </w:pPr>
      <w:r>
        <w:t xml:space="preserve">(c) the quadratic form, d² = qᵀ Q q with q = (−log gap, −log TTC) − q₀, q₀ fixed at</w:t>
      </w:r>
      <w:r>
        <w:t xml:space="preserve"> </w:t>
      </w:r>
      <w:r>
        <w:t xml:space="preserve">the mildest design cell’s values, Q positive definite via a Cholesky factor (three</w:t>
      </w:r>
      <w:r>
        <w:t xml:space="preserve"> </w:t>
      </w:r>
      <w:r>
        <w:t xml:space="preserve">parameters, of which one is the scale confounded with the threshold and should be</w:t>
      </w:r>
      <w:r>
        <w:t xml:space="preserve"> </w:t>
      </w:r>
      <w:r>
        <w:t xml:space="preserve">fixed to 1 by convention, leaving two); (d) the same quadratic form with the CAMP-style</w:t>
      </w:r>
      <w:r>
        <w:t xml:space="preserve"> </w:t>
      </w:r>
      <w:r>
        <w:t xml:space="preserve">axes (1/TTC, ego speed) for comparison.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rule, stated now.</w:t>
      </w:r>
      <w:r>
        <w:t xml:space="preserve"> </w:t>
      </w:r>
      <w:r>
        <w:t xml:space="preserve">The second axis earns its place on this scenario if</w:t>
      </w:r>
    </w:p>
    <w:p>
      <w:pPr>
        <w:pStyle w:val="Compact"/>
        <w:numPr>
          <w:ilvl w:val="0"/>
          <w:numId w:val="1000"/>
        </w:numPr>
      </w:pPr>
      <w:r>
        <w:t xml:space="preserve">(b) or (c) beats (a) by more than 0.01 held-out wRMSE; if (c) beats (b) by more than</w:t>
      </w:r>
      <w:r>
        <w:t xml:space="preserve"> </w:t>
      </w:r>
      <w:r>
        <w:t xml:space="preserve">0.01 the trade-off is curved and the ellipse form is preferred; if (b) and (c) are</w:t>
      </w:r>
      <w:r>
        <w:t xml:space="preserve"> </w:t>
      </w:r>
      <w:r>
        <w:t xml:space="preserve">within 0.01 of each other parsimony picks the linear rule; if neither beats (a) the</w:t>
      </w:r>
      <w:r>
        <w:t xml:space="preserve"> </w:t>
      </w:r>
      <w:r>
        <w:t xml:space="preserve">cut-in boundary is one-dimensional in the gap on this data and the ellipse has</w:t>
      </w:r>
      <w:r>
        <w:t xml:space="preserve"> </w:t>
      </w:r>
      <w:r>
        <w:t xml:space="preserve">nothing to add here, which is a finding, not a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Report.</w:t>
      </w:r>
      <w:r>
        <w:t xml:space="preserve"> </w:t>
      </w:r>
      <w:r>
        <w:t xml:space="preserve">The table, the fitted w or Q with the implied trade-off (the slope of the</w:t>
      </w:r>
      <w:r>
        <w:t xml:space="preserve"> </w:t>
      </w:r>
      <w:r>
        <w:t xml:space="preserve">level set in the log-gap/log-TTC plane), the within-row orderings, and the noise</w:t>
      </w:r>
      <w:r>
        <w:t xml:space="preserve"> </w:t>
      </w:r>
      <w:r>
        <w:t xml:space="preserve">floor. No verdict prose beyond the rule.</w:t>
      </w:r>
    </w:p>
    <w:p>
      <w:pPr>
        <w:pStyle w:val="FirstParagraph"/>
      </w:pPr>
      <w:r>
        <w:rPr>
          <w:i/>
          <w:iCs/>
        </w:rPr>
        <w:t xml:space="preserve">[Run 2026-09-02, the same day,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replication/czb/cutin2_two_axis.py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out/cutin2_two_axis.md</w:t>
      </w:r>
      <w:r>
        <w:rPr>
          <w:i/>
          <w:iCs/>
        </w:rPr>
        <w:t xml:space="preserve">. The second axis earns its place: linear 2D rule 0.1137, quadratic</w:t>
      </w:r>
      <w:r>
        <w:rPr>
          <w:i/>
          <w:iCs/>
        </w:rPr>
        <w:t xml:space="preserve"> </w:t>
      </w:r>
      <w:r>
        <w:rPr>
          <w:i/>
          <w:iCs/>
        </w:rPr>
        <w:t xml:space="preserve">form 0.1148, 1D log gap 0.1522, noise floor 0.1176 (conservative, see the pipeline review</w:t>
      </w:r>
      <w:r>
        <w:rPr>
          <w:i/>
          <w:iCs/>
        </w:rPr>
        <w:t xml:space="preserve"> </w:t>
      </w:r>
      <w:r>
        <w:rPr>
          <w:i/>
          <w:iCs/>
        </w:rPr>
        <w:t xml:space="preserve">§4). Linear and quadratic within 0.01, so parsimony keeps the linear rule; its weight on</w:t>
      </w:r>
      <w:r>
        <w:rPr>
          <w:i/>
          <w:iCs/>
        </w:rPr>
        <w:t xml:space="preserve"> </w:t>
      </w:r>
      <w:r>
        <w:rPr>
          <w:i/>
          <w:iCs/>
        </w:rPr>
        <w:t xml:space="preserve">log gap is 0.47–0.51 in every fold, a one-for-one trade-off on the log scale, i.e. a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 on the geometric mean of gap and TTC. Section 3’s expectation that the cut-in</w:t>
      </w:r>
      <w:r>
        <w:rPr>
          <w:i/>
          <w:iCs/>
        </w:rPr>
        <w:t xml:space="preserve"> </w:t>
      </w:r>
      <w:r>
        <w:rPr>
          <w:i/>
          <w:iCs/>
        </w:rPr>
        <w:t xml:space="preserve">would identify a trade-off is met, and more strongly than I expected: the cut-in’s form</w:t>
      </w:r>
      <w:r>
        <w:rPr>
          <w:i/>
          <w:iCs/>
        </w:rPr>
        <w:t xml:space="preserve"> </w:t>
      </w:r>
      <w:r>
        <w:rPr>
          <w:i/>
          <w:iCs/>
        </w:rPr>
        <w:t xml:space="preserve">for card EL.2 is the linear rule,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“ellipse”</w:t>
      </w:r>
      <w:r>
        <w:rPr>
          <w:i/>
          <w:iCs/>
        </w:rPr>
        <w:t xml:space="preserve"> </w:t>
      </w:r>
      <w:r>
        <w:rPr>
          <w:i/>
          <w:iCs/>
        </w:rPr>
        <w:t xml:space="preserve">on this scenario is a straight line</w:t>
      </w:r>
      <w:r>
        <w:rPr>
          <w:i/>
          <w:iCs/>
        </w:rPr>
        <w:t xml:space="preserve"> </w:t>
      </w:r>
      <w:r>
        <w:rPr>
          <w:i/>
          <w:iCs/>
        </w:rPr>
        <w:t xml:space="preserve">in the log plane. Model (e), the quadratic form on the CAMP-style axes (1/TTC, ego speed), scores</w:t>
      </w:r>
      <w:r>
        <w:rPr>
          <w:i/>
          <w:iCs/>
        </w:rPr>
        <w:t xml:space="preserve"> </w:t>
      </w:r>
      <w:r>
        <w:rPr>
          <w:i/>
          <w:iCs/>
        </w:rPr>
        <w:t xml:space="preserve">0.1822 after a re-run (the first run had the ego speed defined for two DV levels</w:t>
      </w:r>
      <w:r>
        <w:rPr>
          <w:i/>
          <w:iCs/>
        </w:rPr>
        <w:t xml:space="preserve"> </w:t>
      </w:r>
      <w:r>
        <w:rPr>
          <w:i/>
          <w:iCs/>
        </w:rPr>
        <w:t xml:space="preserve">only, my bug); it is reported for comparison and carries no decision.]</w:t>
      </w:r>
    </w:p>
    <w:bookmarkEnd w:id="15"/>
    <w:bookmarkStart w:id="16" w:name="Xd764ac0dfc2aeb55697d38a5f92a6a6f471822c"/>
    <w:p>
      <w:pPr>
        <w:pStyle w:val="Heading3"/>
      </w:pPr>
      <w:r>
        <w:t xml:space="preserve">Card EL.2 — the level shared across scenarios, on the ellipse forms</w:t>
      </w:r>
    </w:p>
    <w:p>
      <w:pPr>
        <w:pStyle w:val="FirstParagraph"/>
      </w:pPr>
      <w:r>
        <w:t xml:space="preserve">After B.2 and B.3.v2 have their loaders and construction notes. The stage-1 estimator</w:t>
      </w:r>
      <w:r>
        <w:t xml:space="preserve"> </w:t>
      </w:r>
      <w:r>
        <w:t xml:space="preserve">on d_s(x)’s running maximum in each scenario, with the section-5 normalization</w:t>
      </w:r>
      <w:r>
        <w:t xml:space="preserve"> </w:t>
      </w:r>
      <w:r>
        <w:t xml:space="preserve">convention; the B.4 transfer as amended (level frozen, lapse free); comparators the</w:t>
      </w:r>
      <w:r>
        <w:t xml:space="preserve"> </w:t>
      </w:r>
      <w:r>
        <w:t xml:space="preserve">linear 2D rules; ceilings the per-scenario refit and the 0.69 field-free bound. Output</w:t>
      </w:r>
      <w:r>
        <w:t xml:space="preserve"> </w:t>
      </w:r>
      <w:r>
        <w:t xml:space="preserve">per the B.4 card. The convention and the confound are to be stated in the report’s</w:t>
      </w:r>
      <w:r>
        <w:t xml:space="preserve"> </w:t>
      </w:r>
      <w:r>
        <w:t xml:space="preserve">header.</w:t>
      </w:r>
    </w:p>
    <w:bookmarkEnd w:id="16"/>
    <w:bookmarkStart w:id="17" w:name="X938a016bc1a4f3c7e0061921a0e1343940fcd2c"/>
    <w:p>
      <w:pPr>
        <w:pStyle w:val="Heading3"/>
      </w:pPr>
      <w:r>
        <w:t xml:space="preserve">Card EL.3 — the population reference, when naturalistic data arrive</w:t>
      </w:r>
    </w:p>
    <w:p>
      <w:pPr>
        <w:pStyle w:val="FirstParagraph"/>
      </w:pPr>
      <w:r>
        <w:t xml:space="preserve">Per scenario, μ_s and Σ_s from steady-state accepted states in routine driving (Jonas’s</w:t>
      </w:r>
      <w:r>
        <w:t xml:space="preserve"> </w:t>
      </w:r>
      <w:r>
        <w:t xml:space="preserve">own caveats apply: steady-state following only, no overtaking-intent segments, no</w:t>
      </w:r>
      <w:r>
        <w:t xml:space="preserve"> </w:t>
      </w:r>
      <w:r>
        <w:t xml:space="preserve">post-crossing transients); then the two percentiles side by side, of observed states</w:t>
      </w:r>
      <w:r>
        <w:t xml:space="preserve"> </w:t>
      </w:r>
      <w:r>
        <w:t xml:space="preserve">and of drivers’ boundaries, and the trigger each implies, across percentiles 50–95, in</w:t>
      </w:r>
      <w:r>
        <w:t xml:space="preserve"> </w:t>
      </w:r>
      <w:r>
        <w:t xml:space="preserve">the form of card C. That table is the multivariate answer to figure 7’s question, and,</w:t>
      </w:r>
      <w:r>
        <w:t xml:space="preserve"> </w:t>
      </w:r>
      <w:r>
        <w:t xml:space="preserve">the way I read Jonas’s document, the one QUADRARUM most needs.</w:t>
      </w:r>
    </w:p>
    <w:bookmarkEnd w:id="17"/>
    <w:bookmarkEnd w:id="18"/>
    <w:bookmarkStart w:id="19" w:name="where-i-may-be-wrong"/>
    <w:p>
      <w:pPr>
        <w:pStyle w:val="Heading2"/>
      </w:pPr>
      <w:r>
        <w:t xml:space="preserve">7 Where I may be wrong</w:t>
      </w:r>
    </w:p>
    <w:p>
      <w:pPr>
        <w:pStyle w:val="Compact"/>
        <w:numPr>
          <w:ilvl w:val="0"/>
          <w:numId w:val="1003"/>
        </w:numPr>
      </w:pPr>
      <w:r>
        <w:t xml:space="preserve">I have read the QUADRARUM definition as a percentile of pooled observations</w:t>
      </w:r>
      <w:r>
        <w:t xml:space="preserve"> </w:t>
      </w:r>
      <w:r>
        <w:t xml:space="preserve">(population A). If it was meant as a percentile over drivers of per-driver boundaries</w:t>
      </w:r>
      <w:r>
        <w:t xml:space="preserve"> </w:t>
      </w:r>
      <w:r>
        <w:t xml:space="preserve">(population B), section 1’s distinction still stands but the deliverable is closer to</w:t>
      </w:r>
      <w:r>
        <w:t xml:space="preserve"> </w:t>
      </w:r>
      <w:r>
        <w:t xml:space="preserve">what the study data already give, and card EL.3 becomes a check rather than the</w:t>
      </w:r>
      <w:r>
        <w:t xml:space="preserve"> </w:t>
      </w:r>
      <w:r>
        <w:t xml:space="preserve">deliverable.</w:t>
      </w:r>
    </w:p>
    <w:p>
      <w:pPr>
        <w:pStyle w:val="Compact"/>
        <w:numPr>
          <w:ilvl w:val="0"/>
          <w:numId w:val="1003"/>
        </w:numPr>
      </w:pPr>
      <w:r>
        <w:t xml:space="preserve">The claim that the study data cannot identify Σ_s’s scale is exact for the response</w:t>
      </w:r>
      <w:r>
        <w:t xml:space="preserve"> </w:t>
      </w:r>
      <w:r>
        <w:t xml:space="preserve">model above; a model with an additional observed quantity on an absolute scale (the</w:t>
      </w:r>
      <w:r>
        <w:t xml:space="preserve"> </w:t>
      </w:r>
      <w:r>
        <w:t xml:space="preserve">Button design’s press</w:t>
      </w:r>
      <w:r>
        <w:t xml:space="preserve"> </w:t>
      </w:r>
      <w:r>
        <w:rPr>
          <w:i/>
          <w:iCs/>
        </w:rPr>
        <w:t xml:space="preserve">times</w:t>
      </w:r>
      <w:r>
        <w:t xml:space="preserve">, which pin when the crossing happens rather than</w:t>
      </w:r>
      <w:r>
        <w:t xml:space="preserve"> </w:t>
      </w:r>
      <w:r>
        <w:t xml:space="preserve">whether) may partly break the confound. That is worth a look inside card EL.2 rather</w:t>
      </w:r>
      <w:r>
        <w:t xml:space="preserve"> </w:t>
      </w:r>
      <w:r>
        <w:t xml:space="preserve">than a separate card.</w:t>
      </w:r>
    </w:p>
    <w:p>
      <w:pPr>
        <w:pStyle w:val="Compact"/>
        <w:numPr>
          <w:ilvl w:val="0"/>
          <w:numId w:val="1003"/>
        </w:numPr>
      </w:pPr>
      <w:r>
        <w:t xml:space="preserve">Fixing μ_s at zero criticality makes d_s a norm; if the comfortable reference is not</w:t>
      </w:r>
      <w:r>
        <w:t xml:space="preserve"> </w:t>
      </w:r>
      <w:r>
        <w:t xml:space="preserve">at the origin (drivers may prefer a nonzero closing rate in some scenarios), the</w:t>
      </w:r>
      <w:r>
        <w:t xml:space="preserve"> </w:t>
      </w:r>
      <w:r>
        <w:t xml:space="preserve">level set is off-center and the quadratic form with a free center needs two more</w:t>
      </w:r>
      <w:r>
        <w:t xml:space="preserve"> </w:t>
      </w:r>
      <w:r>
        <w:t xml:space="preserve">parameters the study cells may not support.</w:t>
      </w:r>
    </w:p>
    <w:p>
      <w:pPr>
        <w:pStyle w:val="Compact"/>
        <w:numPr>
          <w:ilvl w:val="0"/>
          <w:numId w:val="1003"/>
        </w:numPr>
      </w:pPr>
      <w:r>
        <w:t xml:space="preserve">The proposed observables are the ones the existing analyses point to; the B.2 and</w:t>
      </w:r>
      <w:r>
        <w:t xml:space="preserve"> </w:t>
      </w:r>
      <w:r>
        <w:t xml:space="preserve">B.3 construction notes may have better reasons for others, and this note should</w:t>
      </w:r>
      <w:r>
        <w:t xml:space="preserve"> </w:t>
      </w:r>
      <w:r>
        <w:t xml:space="preserve">yield to them on that.</w:t>
      </w:r>
    </w:p>
    <w:p>
      <w:pPr>
        <w:pStyle w:val="Compact"/>
        <w:numPr>
          <w:ilvl w:val="0"/>
          <w:numId w:val="1003"/>
        </w:numPr>
      </w:pPr>
      <w:r>
        <w:t xml:space="preserve">The CAMP replication’s data cleaning removed 32% of rows and the 45 mph and 0.28 g</w:t>
      </w:r>
      <w:r>
        <w:t xml:space="preserve"> </w:t>
      </w:r>
      <w:r>
        <w:t xml:space="preserve">conditions are absent, so its use in card EL.1 is a shape check on 11 conditions, not</w:t>
      </w:r>
      <w:r>
        <w:t xml:space="preserve"> </w:t>
      </w:r>
      <w:r>
        <w:t xml:space="preserve">a replication of the published 17.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2026-09-02T09:50:18Z</dcterms:created>
  <dcterms:modified xsi:type="dcterms:W3CDTF">2026-09-02T09:50:18Z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