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12a9b3568d5beca66f7404c940d3ba70a39fcb"/>
    <w:p>
      <w:pPr>
        <w:pStyle w:val="Heading1"/>
      </w:pPr>
      <w:r>
        <w:t xml:space="preserve">The left-turn-across-path scenario: construction note (card B.3.v2)</w:t>
      </w:r>
    </w:p>
    <w:p>
      <w:pPr>
        <w:pStyle w:val="FirstParagraph"/>
      </w:pPr>
      <w:r>
        <w:rPr>
          <w:i/>
          <w:iCs/>
        </w:rPr>
        <w:t xml:space="preserve">2026-09-02, tier-1 session, queue item (1) of the standing handover. Per Jonas’s ruling</w:t>
      </w:r>
      <w:r>
        <w:rPr>
          <w:i/>
          <w:iCs/>
        </w:rPr>
        <w:t xml:space="preserve"> </w:t>
      </w:r>
      <w:r>
        <w:rPr>
          <w:i/>
          <w:iCs/>
        </w:rPr>
        <w:t xml:space="preserve">of 2026-08-29 (R2.Q4) the scenario is built as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comparator-class construction</w:t>
      </w:r>
      <w:r>
        <w:rPr>
          <w:i/>
          <w:iCs/>
        </w:rPr>
        <w:t xml:space="preserve">,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field alternative documented alongside and the pros and cons of both routes written</w:t>
      </w:r>
      <w:r>
        <w:rPr>
          <w:i/>
          <w:iCs/>
        </w:rPr>
        <w:t xml:space="preserve"> </w:t>
      </w:r>
      <w:r>
        <w:rPr>
          <w:i/>
          <w:iCs/>
        </w:rPr>
        <w:t xml:space="preserve">down. This is the note to review before any code; it follows the lane-entry note’s</w:t>
      </w:r>
      <w:r>
        <w:rPr>
          <w:i/>
          <w:iCs/>
        </w:rPr>
        <w:t xml:space="preserve"> </w:t>
      </w:r>
      <w:r>
        <w:rPr>
          <w:i/>
          <w:iCs/>
        </w:rPr>
        <w:t xml:space="preserve">pattern. Every number comes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replication/czb/out/ltap_geometry.md</w:t>
      </w:r>
      <w:r>
        <w:rPr>
          <w:i/>
          <w:iCs/>
        </w:rPr>
        <w:t xml:space="preserve"> </w:t>
      </w:r>
      <w:r>
        <w:rPr>
          <w:i/>
          <w:iCs/>
        </w:rPr>
        <w:t xml:space="preserve">(script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replication/czb/ltap_geometry.py</w:t>
      </w:r>
      <w:r>
        <w:rPr>
          <w:i/>
          <w:iCs/>
        </w:rPr>
        <w:t xml:space="preserve">, written for this note) or from the tracked outputs</w:t>
      </w:r>
      <w:r>
        <w:rPr>
          <w:i/>
          <w:iCs/>
        </w:rPr>
        <w:t xml:space="preserve"> </w:t>
      </w:r>
      <w:r>
        <w:rPr>
          <w:i/>
          <w:iCs/>
        </w:rPr>
        <w:t xml:space="preserve">named at the point of quotation. Opinions are marked as such.</w:t>
      </w:r>
    </w:p>
    <w:bookmarkStart w:id="9" w:name="Xae1ea2141449f1f7d1292790c9f6a22ae29a6aa"/>
    <w:p>
      <w:pPr>
        <w:pStyle w:val="Heading2"/>
      </w:pPr>
      <w:r>
        <w:t xml:space="preserve">0 The scenario in one paragraph, from the traces</w:t>
      </w:r>
    </w:p>
    <w:p>
      <w:pPr>
        <w:pStyle w:val="FirstParagraph"/>
      </w:pPr>
      <w:r>
        <w:t xml:space="preserve">The ego approaches a T-junction at 12.7 m/s, slows to 6.5–6.9 m/s, and begins a left</w:t>
      </w:r>
      <w:r>
        <w:t xml:space="preserve"> </w:t>
      </w:r>
      <w:r>
        <w:t xml:space="preserve">turn at 13.9–14.1 s of trace time; it is inside the oncoming lane from about 15.1 to</w:t>
      </w:r>
      <w:r>
        <w:t xml:space="preserve"> </w:t>
      </w:r>
      <w:r>
        <w:t xml:space="preserve">15.7 s. The oncoming vehicle travels straight at a constant 13.9 m/s (50 km/h) or</w:t>
      </w:r>
      <w:r>
        <w:t xml:space="preserve"> </w:t>
      </w:r>
      <w:r>
        <w:t xml:space="preserve">19.4 m/s (70 km/h). The ego’s script is identical in all 18 traces; only the oncoming’s</w:t>
      </w:r>
      <w:r>
        <w:t xml:space="preserve"> </w:t>
      </w:r>
      <w:r>
        <w:t xml:space="preserve">start position (one per PET level, 0 to 4 s in 0.5 s steps) and its speed vary. So at a</w:t>
      </w:r>
      <w:r>
        <w:t xml:space="preserve"> </w:t>
      </w:r>
      <w:r>
        <w:t xml:space="preserve">given design PET the oncoming’s</w:t>
      </w:r>
      <w:r>
        <w:t xml:space="preserve"> </w:t>
      </w:r>
      <w:r>
        <w:rPr>
          <w:i/>
          <w:iCs/>
        </w:rPr>
        <w:t xml:space="preserve">time to the conflict point</w:t>
      </w:r>
      <w:r>
        <w:t xml:space="preserve"> </w:t>
      </w:r>
      <w:r>
        <w:t xml:space="preserve">at turn onset is matched</w:t>
      </w:r>
      <w:r>
        <w:t xml:space="preserve"> </w:t>
      </w:r>
      <w:r>
        <w:t xml:space="preserve">across the two speeds (2.5 to 6.7 s across PET levels, equal to within 0.2 s between</w:t>
      </w:r>
      <w:r>
        <w:t xml:space="preserve"> </w:t>
      </w:r>
      <w:r>
        <w:t xml:space="preserve">speeds), while its</w:t>
      </w:r>
      <w:r>
        <w:t xml:space="preserve"> </w:t>
      </w:r>
      <w:r>
        <w:rPr>
          <w:i/>
          <w:iCs/>
        </w:rPr>
        <w:t xml:space="preserve">distance</w:t>
      </w:r>
      <w:r>
        <w:t xml:space="preserve"> </w:t>
      </w:r>
      <w:r>
        <w:t xml:space="preserve">differs by the speed ratio (34 to 91 m at 50 km/h, 48 to</w:t>
      </w:r>
      <w:r>
        <w:t xml:space="preserve"> </w:t>
      </w:r>
      <w:r>
        <w:t xml:space="preserve">130 m at 70 km/h). That is the design’s whole value: it separates time from distance by</w:t>
      </w:r>
      <w:r>
        <w:t xml:space="preserve"> </w:t>
      </w:r>
      <w:r>
        <w:t xml:space="preserve">construction, which the first cut-in study could not do and the second had to be built</w:t>
      </w:r>
      <w:r>
        <w:t xml:space="preserve"> </w:t>
      </w:r>
      <w:r>
        <w:t xml:space="preserve">to do. The Random design’s response surface is 9 PET levels × 2 speeds, 172 trials per</w:t>
      </w:r>
      <w:r>
        <w:t xml:space="preserve"> </w:t>
      </w:r>
      <w:r>
        <w:t xml:space="preserve">cell, P(intervene) from 0.88 down to 0.11, with intervention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at 70 km/h at every</w:t>
      </w:r>
      <w:r>
        <w:t xml:space="preserve"> </w:t>
      </w:r>
      <w:r>
        <w:t xml:space="preserve">PET level. The Button design (50 km/h only) shows clips of 0–13.5 s of trace time, which</w:t>
      </w:r>
      <w:r>
        <w:t xml:space="preserve"> </w:t>
      </w:r>
      <w:r>
        <w:t xml:space="preserve">end before the turn begins; its presses cluster at 12.6–12.9 s regardless of PET, so the</w:t>
      </w:r>
      <w:r>
        <w:t xml:space="preserve"> </w:t>
      </w:r>
      <w:r>
        <w:t xml:space="preserve">Button decision is</w:t>
      </w:r>
      <w:r>
        <w:t xml:space="preserve"> </w:t>
      </w:r>
      <w:r>
        <w:t xml:space="preserve">“would I yield”</w:t>
      </w:r>
      <w:r>
        <w:t xml:space="preserve">, made on the approach, and the press rate rather than</w:t>
      </w:r>
      <w:r>
        <w:t xml:space="preserve"> </w:t>
      </w:r>
      <w:r>
        <w:t xml:space="preserve">the press time carries the criticality.</w:t>
      </w:r>
    </w:p>
    <w:bookmarkEnd w:id="9"/>
    <w:bookmarkStart w:id="10" w:name="X185bfca06cde02a3284cbe1f88ae795715d736c"/>
    <w:p>
      <w:pPr>
        <w:pStyle w:val="Heading2"/>
      </w:pPr>
      <w:r>
        <w:t xml:space="preserve">1 What the response surface already says: distance, with a speed residual</w:t>
      </w:r>
    </w:p>
    <w:p>
      <w:pPr>
        <w:pStyle w:val="FirstParagraph"/>
      </w:pPr>
      <w:r>
        <w:t xml:space="preserve">The cleanest fact in the project’s data on the time-versus-distance question is here,</w:t>
      </w:r>
      <w:r>
        <w:t xml:space="preserve"> </w:t>
      </w:r>
      <w:r>
        <w:t xml:space="preserve">and it needs no model. If the response depended on time to the conflict only, the two</w:t>
      </w:r>
      <w:r>
        <w:t xml:space="preserve"> </w:t>
      </w:r>
      <w:r>
        <w:t xml:space="preserve">speeds would agree at matched PET; they do not, and the time-only prediction errs by</w:t>
      </w:r>
      <w:r>
        <w:t xml:space="preserve"> </w:t>
      </w:r>
      <w:r>
        <w:t xml:space="preserve">−0.20 on average (RMS 0.21: the 70 km/h cells intervene far less than their 50 km/h</w:t>
      </w:r>
      <w:r>
        <w:t xml:space="preserve"> </w:t>
      </w:r>
      <w:r>
        <w:t xml:space="preserve">partners). If it depended on the oncoming’s distance only, the 70 km/h cell at PET p</w:t>
      </w:r>
      <w:r>
        <w:t xml:space="preserve"> </w:t>
      </w:r>
      <w:r>
        <w:t xml:space="preserve">should match the 50 km/h cell at the PET with the same distance; interpolating on the</w:t>
      </w:r>
      <w:r>
        <w:t xml:space="preserve"> </w:t>
      </w:r>
      <w:r>
        <w:t xml:space="preserve">50 km/h distance–response curve gets within RMS 0.08, but with a signed error of</w:t>
      </w:r>
      <w:r>
        <w:t xml:space="preserve"> </w:t>
      </w:r>
      <w:r>
        <w:t xml:space="preserve">+0.06: the 70 km/h cells still intervene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a pure-distance reading predicts,</w:t>
      </w:r>
      <w:r>
        <w:t xml:space="preserve"> </w:t>
      </w:r>
      <w:r>
        <w:t xml:space="preserve">consistently across the five PET levels where the interpolation is in range.</w:t>
      </w:r>
    </w:p>
    <w:p>
      <w:pPr>
        <w:pStyle w:val="BodyText"/>
      </w:pPr>
      <w:r>
        <w:t xml:space="preserve">So the LTAP response is mostly a distance judgment, with a residual in the direction</w:t>
      </w:r>
      <w:r>
        <w:t xml:space="preserve"> </w:t>
      </w:r>
      <w:r>
        <w:t xml:space="preserve">“same distance, faster oncoming, less intervention”</w:t>
      </w:r>
      <w:r>
        <w:t xml:space="preserve"> </w:t>
      </w:r>
      <w:r>
        <w:t xml:space="preserve">that a single scalar in either</w:t>
      </w:r>
      <w:r>
        <w:t xml:space="preserve"> </w:t>
      </w:r>
      <w:r>
        <w:t xml:space="preserve">distance or time cannot carry. The way I read it, that residual is the second axis the</w:t>
      </w:r>
      <w:r>
        <w:t xml:space="preserve"> </w:t>
      </w:r>
      <w:r>
        <w:t xml:space="preserve">ellipse design note was looking for, and LTAP is the scenario where a two-observable</w:t>
      </w:r>
      <w:r>
        <w:t xml:space="preserve"> </w:t>
      </w:r>
      <w:r>
        <w:t xml:space="preserve">form will earn its place if it does anywhere. It is also the same pattern the pipeline</w:t>
      </w:r>
      <w:r>
        <w:t xml:space="preserve"> </w:t>
      </w:r>
      <w:r>
        <w:t xml:space="preserve">review found in the cut-in (gap orders matched-TTC cells; speed enters with the opposite</w:t>
      </w:r>
      <w:r>
        <w:t xml:space="preserve"> </w:t>
      </w:r>
      <w:r>
        <w:t xml:space="preserve">sign to a worst-case counterfactual), now in a crossing geometry.</w:t>
      </w:r>
    </w:p>
    <w:bookmarkEnd w:id="10"/>
    <w:bookmarkStart w:id="11" w:name="Xf1e44df9713e5856d3476424b08a72fc3195153"/>
    <w:p>
      <w:pPr>
        <w:pStyle w:val="Heading2"/>
      </w:pPr>
      <w:r>
        <w:t xml:space="preserve">2 The comparator-class construction (the route being built)</w:t>
      </w:r>
    </w:p>
    <w:p>
      <w:pPr>
        <w:pStyle w:val="FirstParagraph"/>
      </w:pPr>
      <w:r>
        <w:rPr>
          <w:b/>
          <w:bCs/>
        </w:rPr>
        <w:t xml:space="preserve">Roles.</w:t>
      </w:r>
      <w:r>
        <w:t xml:space="preserve"> </w:t>
      </w:r>
      <w:r>
        <w:t xml:space="preserve">The ego is the vehicle whose heading changes; the oncoming is the one with</w:t>
      </w:r>
      <w:r>
        <w:t xml:space="preserve"> </w:t>
      </w:r>
      <w:r>
        <w:t xml:space="preserve">constant heading. Vehicle IDs differ per file, so the loader assigns roles by yaw span.</w:t>
      </w:r>
      <w:r>
        <w:t xml:space="preserve"> </w:t>
      </w:r>
      <w:r>
        <w:t xml:space="preserve">This is a third role rule, after the cut-in’s lateral-span rule and the overtake’s</w:t>
      </w:r>
      <w:r>
        <w:t xml:space="preserve"> </w:t>
      </w:r>
      <w:r>
        <w:t xml:space="preserve">vehicle-dimension rule, and for the same reason in each case: the instructed vehicle is</w:t>
      </w:r>
      <w:r>
        <w:t xml:space="preserve"> </w:t>
      </w:r>
      <w:r>
        <w:t xml:space="preserve">the one performing the manoeuvre, and what identifies it differs by scenario. The</w:t>
      </w:r>
      <w:r>
        <w:t xml:space="preserve"> </w:t>
      </w:r>
      <w:r>
        <w:t xml:space="preserve">overtake note’s warning applies unchanged: do not reuse the cut-in loader, whose</w:t>
      </w:r>
      <w:r>
        <w:t xml:space="preserve"> </w:t>
      </w:r>
      <w:r>
        <w:t xml:space="preserve">lateral-span rule would pick the turning ego as the</w:t>
      </w:r>
      <w:r>
        <w:t xml:space="preserve"> </w:t>
      </w:r>
      <w:r>
        <w:t xml:space="preserve">“target”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decision moment.</w:t>
      </w:r>
      <w:r>
        <w:t xml:space="preserve"> </w:t>
      </w:r>
      <w:r>
        <w:t xml:space="preserve">For the Random design the clip’s end time is not recorded in</w:t>
      </w:r>
      <w:r>
        <w:t xml:space="preserve"> </w:t>
      </w:r>
      <w:r>
        <w:t xml:space="preserve">the joint file (</w:t>
      </w:r>
      <w:r>
        <w:rPr>
          <w:rStyle w:val="VerbatimChar"/>
        </w:rPr>
        <w:t xml:space="preserve">video_clip_name</w:t>
      </w:r>
      <w:r>
        <w:t xml:space="preserve"> </w:t>
      </w:r>
      <w:r>
        <w:t xml:space="preserve">is Button-only) and is treated here as an assumption</w:t>
      </w:r>
      <w:r>
        <w:t xml:space="preserve"> </w:t>
      </w:r>
      <w:r>
        <w:t xml:space="preserve">to verify (query B3.Q1): the natural candidate is the same 13.5 s window as the Button</w:t>
      </w:r>
      <w:r>
        <w:t xml:space="preserve"> </w:t>
      </w:r>
      <w:r>
        <w:t xml:space="preserve">clips, which ends 0.4–0.6 s before turn onset. All covariates are read at the clip end.</w:t>
      </w:r>
      <w:r>
        <w:t xml:space="preserve"> </w:t>
      </w:r>
      <w:r>
        <w:t xml:space="preserve">There is no timepoint series, so the scenario yields a criticality × speed surface and</w:t>
      </w:r>
      <w:r>
        <w:t xml:space="preserve"> </w:t>
      </w:r>
      <w:r>
        <w:t xml:space="preserve">not a criticality × time surface; cross-scenario comparison is on criticality or per</w:t>
      </w:r>
      <w:r>
        <w:t xml:space="preserve"> </w:t>
      </w:r>
      <w:r>
        <w:t xml:space="preserve">driver, as the B.3.v2 card already says.</w:t>
      </w:r>
    </w:p>
    <w:p>
      <w:pPr>
        <w:pStyle w:val="BodyText"/>
      </w:pPr>
      <w:r>
        <w:rPr>
          <w:b/>
          <w:bCs/>
        </w:rPr>
        <w:t xml:space="preserve">The two observables</w:t>
      </w:r>
      <w:r>
        <w:t xml:space="preserve">, both read at the decision moment: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Arrival-time separation</w:t>
      </w:r>
      <w:r>
        <w:t xml:space="preserve"> </w:t>
      </w:r>
      <w:r>
        <w:t xml:space="preserve">t_sep: the oncoming’s time to the conflict point minus</w:t>
      </w:r>
      <w:r>
        <w:t xml:space="preserve"> </w:t>
      </w:r>
      <w:r>
        <w:t xml:space="preserve">the ego’s time to clear it under the scripted turn. Since the ego’s script is fixed,</w:t>
      </w:r>
      <w:r>
        <w:t xml:space="preserve"> </w:t>
      </w:r>
      <w:r>
        <w:t xml:space="preserve">t_sep is the design PET plus a constant, and the oncoming’s time-to-arrival at onset</w:t>
      </w:r>
      <w:r>
        <w:t xml:space="preserve"> </w:t>
      </w:r>
      <w:r>
        <w:t xml:space="preserve">(2.5–6.7 s) is its measurable proxy; either is a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axis.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Oncoming distance</w:t>
      </w:r>
      <w:r>
        <w:t xml:space="preserve"> </w:t>
      </w:r>
      <w:r>
        <w:t xml:space="preserve">D to the conflict point at the decision moment (34–130 m</w:t>
      </w:r>
      <w:r>
        <w:t xml:space="preserve"> </w:t>
      </w:r>
      <w:r>
        <w:t xml:space="preserve">across the design), or equivalently, at fixed t_sep, the oncoming speed; a</w:t>
      </w:r>
      <w:r>
        <w:t xml:space="preserve"> </w:t>
      </w:r>
      <w:r>
        <w:rPr>
          <w:i/>
          <w:iCs/>
        </w:rPr>
        <w:t xml:space="preserve">distance</w:t>
      </w:r>
      <w:r>
        <w:t xml:space="preserve"> </w:t>
      </w:r>
      <w:r>
        <w:t xml:space="preserve">axis.</w:t>
      </w:r>
    </w:p>
    <w:p>
      <w:pPr>
        <w:pStyle w:val="FirstParagraph"/>
      </w:pPr>
      <w:r>
        <w:t xml:space="preserve">Their criticality orientations are −log t_sep and −log D (smaller is more critical, as</w:t>
      </w:r>
      <w:r>
        <w:t xml:space="preserve"> </w:t>
      </w:r>
      <w:r>
        <w:t xml:space="preserve">the data dictionary’s gotcha 2 records for LTAP).</w:t>
      </w:r>
    </w:p>
    <w:p>
      <w:pPr>
        <w:pStyle w:val="BodyText"/>
      </w:pPr>
      <w:r>
        <w:rPr>
          <w:b/>
          <w:bCs/>
        </w:rPr>
        <w:t xml:space="preserve">The rules to fit</w:t>
      </w:r>
      <w:r>
        <w:t xml:space="preserve">, in the order of the ellipse note’s card EL.1, on the 18 cells with</w:t>
      </w:r>
      <w:r>
        <w:t xml:space="preserve"> </w:t>
      </w:r>
      <w:r>
        <w:t xml:space="preserve">the registered R.2 fit (lapse + probit, weighted least squares), folds</w:t>
      </w:r>
      <w:r>
        <w:t xml:space="preserve"> </w:t>
      </w:r>
      <w:r>
        <w:t xml:space="preserve">leave-one-PET-level-out (nine folds; grouped, so the fit must transfer across the</w:t>
      </w:r>
      <w:r>
        <w:t xml:space="preserve"> </w:t>
      </w:r>
      <w:r>
        <w:t xml:space="preserve">design’s main axis):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1D −log D and (b) 1D −log t_sep, for the record; section 1 predicts (a) beats (b);</w:t>
      </w:r>
    </w:p>
    <w:p>
      <w:pPr>
        <w:pStyle w:val="Compact"/>
        <w:numPr>
          <w:ilvl w:val="0"/>
          <w:numId w:val="1002"/>
        </w:numPr>
      </w:pPr>
      <w:r>
        <w:t xml:space="preserve">(c) the linear 2D rule w(−log D) + (1 − w)(−log t_sep), one extra parameter;</w:t>
      </w:r>
    </w:p>
    <w:p>
      <w:pPr>
        <w:pStyle w:val="Compact"/>
        <w:numPr>
          <w:ilvl w:val="0"/>
          <w:numId w:val="1002"/>
        </w:numPr>
      </w:pPr>
      <w:r>
        <w:t xml:space="preserve">(d) the quadratic form in the same two axes (the ellipse; scale fixed by convention,</w:t>
      </w:r>
      <w:r>
        <w:t xml:space="preserve"> </w:t>
      </w:r>
      <w:r>
        <w:t xml:space="preserve">two extra parameters).</w:t>
      </w:r>
    </w:p>
    <w:p>
      <w:pPr>
        <w:pStyle w:val="FirstParagraph"/>
      </w:pPr>
      <w:r>
        <w:t xml:space="preserve">Decision rule, pre-stated as in EL.1: a second axis earns its place if (c) or (d) beats</w:t>
      </w:r>
      <w:r>
        <w:t xml:space="preserve"> </w:t>
      </w:r>
      <w:r>
        <w:t xml:space="preserve">(a) by more than 0.01 held-out wRMSE; the quadratic form is preferred over the linear</w:t>
      </w:r>
      <w:r>
        <w:t xml:space="preserve"> </w:t>
      </w:r>
      <w:r>
        <w:t xml:space="preserve">rule only if it wins by more than 0.01. With 18 cells the noise floor and the chance</w:t>
      </w:r>
      <w:r>
        <w:t xml:space="preserve"> </w:t>
      </w:r>
      <w:r>
        <w:t xml:space="preserve">reference are to be reported as in R.2, and a bootstrap over cells alongside, because</w:t>
      </w:r>
      <w:r>
        <w:t xml:space="preserve"> </w:t>
      </w:r>
      <w:r>
        <w:t xml:space="preserve">the margins will be closer to the floor than on the 288-cell cut-in surface.</w:t>
      </w:r>
    </w:p>
    <w:p>
      <w:pPr>
        <w:pStyle w:val="BodyText"/>
      </w:pPr>
      <w:r>
        <w:rPr>
          <w:b/>
          <w:bCs/>
        </w:rPr>
        <w:t xml:space="preserve">The per-driver level.</w:t>
      </w:r>
      <w:r>
        <w:t xml:space="preserve"> </w:t>
      </w:r>
      <w:r>
        <w:t xml:space="preserve">The stage-1 estimator on the chosen covariate’s value at the</w:t>
      </w:r>
      <w:r>
        <w:t xml:space="preserve"> </w:t>
      </w:r>
      <w:r>
        <w:t xml:space="preserve">decision moment (no running maximum is needed: one moment per clip), hierarchical lapse,</w:t>
      </w:r>
      <w:r>
        <w:t xml:space="preserve"> </w:t>
      </w:r>
      <w:r>
        <w:t xml:space="preserve">then the B.4 transfer as amended: level population frozen from the cut-in, LTAP lapse</w:t>
      </w:r>
      <w:r>
        <w:t xml:space="preserve"> </w:t>
      </w:r>
      <w:r>
        <w:t xml:space="preserve">free, scored against chance, the LTAP refit ceiling, and the 0.69 field-free bound. The</w:t>
      </w:r>
      <w:r>
        <w:t xml:space="preserve"> </w:t>
      </w:r>
      <w:r>
        <w:t xml:space="preserve">scale-confound convention of the ellipse note (§5) applies if (d) is the chosen form.</w:t>
      </w:r>
    </w:p>
    <w:p>
      <w:pPr>
        <w:pStyle w:val="BodyText"/>
      </w:pPr>
      <w:r>
        <w:rPr>
          <w:b/>
          <w:bCs/>
        </w:rPr>
        <w:t xml:space="preserve">Property tests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tests/test_cutin.py</w:t>
      </w:r>
      <w:r>
        <w:t xml:space="preserve"> </w:t>
      </w:r>
      <w:r>
        <w:t xml:space="preserve">style): roles assigned correctly on all 18</w:t>
      </w:r>
      <w:r>
        <w:t xml:space="preserve"> </w:t>
      </w:r>
      <w:r>
        <w:t xml:space="preserve">traces (the ego’s yaw span exceeds 200°, the oncoming’s is under 5°); turn onset within</w:t>
      </w:r>
      <w:r>
        <w:t xml:space="preserve"> </w:t>
      </w:r>
      <w:r>
        <w:t xml:space="preserve">0.2 s across traces; measured PET monotone in design PET at each speed; distance at</w:t>
      </w:r>
      <w:r>
        <w:t xml:space="preserve"> </w:t>
      </w:r>
      <w:r>
        <w:t xml:space="preserve">onset at 70 km/h equals distance at 50 km/h times 19.4/13.9 to within 5% at each PET.</w:t>
      </w:r>
    </w:p>
    <w:bookmarkEnd w:id="11"/>
    <w:bookmarkStart w:id="12" w:name="Xbe3ec35e11b46f85eb17c2f5aaa90509d8d0d7a"/>
    <w:p>
      <w:pPr>
        <w:pStyle w:val="Heading2"/>
      </w:pPr>
      <w:r>
        <w:t xml:space="preserve">3 The field alternative (documented, not built)</w:t>
      </w:r>
    </w:p>
    <w:p>
      <w:pPr>
        <w:pStyle w:val="FirstParagraph"/>
      </w:pPr>
      <w:r>
        <w:t xml:space="preserve">The released model’s intersection scenario is the mirror image of this one: its ego</w:t>
      </w:r>
      <w:r>
        <w:t xml:space="preserve"> </w:t>
      </w:r>
      <w:r>
        <w:t xml:space="preserve">drives</w:t>
      </w:r>
      <w:r>
        <w:t xml:space="preserve"> </w:t>
      </w:r>
      <w:r>
        <w:rPr>
          <w:i/>
          <w:iCs/>
        </w:rPr>
        <w:t xml:space="preserve">straight</w:t>
      </w:r>
      <w:r>
        <w:t xml:space="preserve"> </w:t>
      </w:r>
      <w:r>
        <w:t xml:space="preserve">through the junction and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vehicle turns across its path</w:t>
      </w:r>
      <w:r>
        <w:t xml:space="preserve"> </w:t>
      </w:r>
      <w:r>
        <w:t xml:space="preserve">(handbook chapter 04; the scenario’s norms in</w:t>
      </w:r>
      <w:r>
        <w:t xml:space="preserve"> </w:t>
      </w:r>
      <w:r>
        <w:rPr>
          <w:rStyle w:val="VerbatimChar"/>
        </w:rPr>
        <w:t xml:space="preserve">external/aica/src/intersection/reward.py</w:t>
      </w:r>
      <w:r>
        <w:t xml:space="preserve"> </w:t>
      </w:r>
      <w:r>
        <w:t xml:space="preserve">penalize the other vehicle for ignoring the light, cutting the corner arc, and leaving</w:t>
      </w:r>
      <w:r>
        <w:t xml:space="preserve"> </w:t>
      </w:r>
      <w:r>
        <w:t xml:space="preserve">the paved area). Here the ego turns. Two things follow for a field construction.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safety term does not apply as released</w:t>
      </w:r>
      <w:r>
        <w:t xml:space="preserve">: it is a car-following counterfactual</w:t>
      </w:r>
      <w:r>
        <w:t xml:space="preserve"> </w:t>
      </w:r>
      <w:r>
        <w:t xml:space="preserve">(lead ahead, same direction, lead brakes hard) and the oncoming vehicle is neither ahead</w:t>
      </w:r>
      <w:r>
        <w:t xml:space="preserve"> </w:t>
      </w:r>
      <w:r>
        <w:t xml:space="preserve">in the ego’s lane nor same-direction until the ego has entered the oncoming lane, by</w:t>
      </w:r>
      <w:r>
        <w:t xml:space="preserve"> </w:t>
      </w:r>
      <w:r>
        <w:t xml:space="preserve">which time the decision is over. The</w:t>
      </w:r>
      <w:r>
        <w:t xml:space="preserve"> </w:t>
      </w:r>
      <w:r>
        <w:rPr>
          <w:b/>
          <w:bCs/>
        </w:rPr>
        <w:t xml:space="preserve">collision term</w:t>
      </w:r>
      <w:r>
        <w:t xml:space="preserve"> </w:t>
      </w:r>
      <w:r>
        <w:t xml:space="preserve">applies only at overlap. So a</w:t>
      </w:r>
      <w:r>
        <w:t xml:space="preserve"> </w:t>
      </w:r>
      <w:r>
        <w:t xml:space="preserve">field route would need a new term, which the original B.3 card sketched: gate the</w:t>
      </w:r>
      <w:r>
        <w:t xml:space="preserve"> </w:t>
      </w:r>
      <w:r>
        <w:t xml:space="preserve">conflict terms by predicted</w:t>
      </w:r>
      <w:r>
        <w:t xml:space="preserve"> </w:t>
      </w:r>
      <w:r>
        <w:rPr>
          <w:i/>
          <w:iCs/>
        </w:rPr>
        <w:t xml:space="preserve">co-occupancy</w:t>
      </w:r>
      <w:r>
        <w:t xml:space="preserve"> </w:t>
      </w:r>
      <w:r>
        <w:t xml:space="preserve">of the conflict zone (the lane-entry weight’s</w:t>
      </w:r>
      <w:r>
        <w:t xml:space="preserve"> </w:t>
      </w:r>
      <w:r>
        <w:t xml:space="preserve">idea with lateral overlap replaced by zone co-occupancy), and give the magnitude a</w:t>
      </w:r>
      <w:r>
        <w:t xml:space="preserve"> </w:t>
      </w:r>
      <w:r>
        <w:t xml:space="preserve">counterfactual severity (the relative speed at the conflict point if the two occupancy</w:t>
      </w:r>
      <w:r>
        <w:t xml:space="preserve"> </w:t>
      </w:r>
      <w:r>
        <w:t xml:space="preserve">intervals overlap under</w:t>
      </w:r>
      <w:r>
        <w:t xml:space="preserve"> </w:t>
      </w:r>
      <w:r>
        <w:t xml:space="preserve">“ego continues its scripted turn, oncoming holds speed”</w:t>
      </w:r>
      <w:r>
        <w:t xml:space="preserve">).</w:t>
      </w:r>
    </w:p>
    <w:p>
      <w:pPr>
        <w:pStyle w:val="BodyText"/>
      </w:pPr>
      <w:r>
        <w:t xml:space="preserve">Pros of that route: it stays in one family with the cut-in field; the co-occupancy gate</w:t>
      </w:r>
      <w:r>
        <w:t xml:space="preserve"> </w:t>
      </w:r>
      <w:r>
        <w:t xml:space="preserve">is a genuine physical statement; the counterfactual makes</w:t>
      </w:r>
      <w:r>
        <w:t xml:space="preserve"> </w:t>
      </w:r>
      <w:r>
        <w:t xml:space="preserve">“how bad”</w:t>
      </w:r>
      <w:r>
        <w:t xml:space="preserve"> </w:t>
      </w:r>
      <w:r>
        <w:t xml:space="preserve">explicit. Cons, and</w:t>
      </w:r>
      <w:r>
        <w:t xml:space="preserve"> </w:t>
      </w:r>
      <w:r>
        <w:t xml:space="preserve">in my opinion they are decisive after R.2: the released model never exercised a turning</w:t>
      </w:r>
      <w:r>
        <w:t xml:space="preserve"> </w:t>
      </w:r>
      <w:r>
        <w:t xml:space="preserve">ego, so the term is ours from the ground up, with at least two new assumptions (the</w:t>
      </w:r>
      <w:r>
        <w:t xml:space="preserve"> </w:t>
      </w:r>
      <w:r>
        <w:t xml:space="preserve">turn-completion profile and the counterfactual’s speed assumptions) that nothing</w:t>
      </w:r>
      <w:r>
        <w:t xml:space="preserve"> </w:t>
      </w:r>
      <w:r>
        <w:t xml:space="preserve">upstream calibrates; the gate would reproduce the cut-in’s failure mode, since</w:t>
      </w:r>
      <w:r>
        <w:t xml:space="preserve"> </w:t>
      </w:r>
      <w:r>
        <w:t xml:space="preserve">co-occupancy at closure depends on the ego’s turn pace in the same way the lane-entry</w:t>
      </w:r>
      <w:r>
        <w:t xml:space="preserve"> </w:t>
      </w:r>
      <w:r>
        <w:t xml:space="preserve">projection depended on the target’s lateral pace, and the data here (section 1) point</w:t>
      </w:r>
      <w:r>
        <w:t xml:space="preserve"> </w:t>
      </w:r>
      <w:r>
        <w:t xml:space="preserve">at distance, not at a projected overlap; and the counterfactual magnitude would scale</w:t>
      </w:r>
      <w:r>
        <w:t xml:space="preserve"> </w:t>
      </w:r>
      <w:r>
        <w:t xml:space="preserve">with the oncoming’s speed at matched time in the direction the data reject (faster</w:t>
      </w:r>
      <w:r>
        <w:t xml:space="preserve"> </w:t>
      </w:r>
      <w:r>
        <w:t xml:space="preserve">oncoming,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severity in the counterfactual,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intervention in the data). A</w:t>
      </w:r>
      <w:r>
        <w:t xml:space="preserve"> </w:t>
      </w:r>
      <w:r>
        <w:t xml:space="preserve">version of it could be scored as a fifth model in the section-2 comparison if anyone</w:t>
      </w:r>
      <w:r>
        <w:t xml:space="preserve"> </w:t>
      </w:r>
      <w:r>
        <w:t xml:space="preserve">wants the sentence</w:t>
      </w:r>
      <w:r>
        <w:t xml:space="preserve"> </w:t>
      </w:r>
      <w:r>
        <w:t xml:space="preserve">“the field alternative was tried on LTAP”</w:t>
      </w:r>
      <w:r>
        <w:t xml:space="preserve">; I would not build it</w:t>
      </w:r>
      <w:r>
        <w:t xml:space="preserve"> </w:t>
      </w:r>
      <w:r>
        <w:t xml:space="preserve">first.</w:t>
      </w:r>
    </w:p>
    <w:bookmarkEnd w:id="12"/>
    <w:bookmarkStart w:id="13" w:name="Xc33b3183a455f2bef042c77b7fec02da852ba98"/>
    <w:p>
      <w:pPr>
        <w:pStyle w:val="Heading2"/>
      </w:pPr>
      <w:r>
        <w:t xml:space="preserve">4 Two things the construction should record about the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Button LTAP labels.</w:t>
      </w:r>
      <w:r>
        <w:t xml:space="preserve"> </w:t>
      </w:r>
      <w:r>
        <w:t xml:space="preserve">Nine criticality labels map to five distinct videos on the</w:t>
      </w:r>
      <w:r>
        <w:t xml:space="preserve"> </w:t>
      </w:r>
      <w:r>
        <w:t xml:space="preserve">Button side (data dictionary, gotcha 3);</w:t>
      </w:r>
      <w:r>
        <w:t xml:space="preserve"> </w:t>
      </w:r>
      <w:r>
        <w:rPr>
          <w:rStyle w:val="VerbatimChar"/>
        </w:rPr>
        <w:t xml:space="preserve">criticality_from_video</w:t>
      </w:r>
      <w:r>
        <w:t xml:space="preserve"> </w:t>
      </w:r>
      <w:r>
        <w:t xml:space="preserve">is the truth there,</w:t>
      </w:r>
      <w:r>
        <w:t xml:space="preserve"> </w:t>
      </w:r>
      <w:r>
        <w:rPr>
          <w:rStyle w:val="VerbatimChar"/>
        </w:rPr>
        <w:t xml:space="preserve">criticality_label</w:t>
      </w:r>
      <w:r>
        <w:t xml:space="preserve"> </w:t>
      </w:r>
      <w:r>
        <w:t xml:space="preserve">on the Random side. The Button design has the 50 km/h speed only,</w:t>
      </w:r>
      <w:r>
        <w:t xml:space="preserve"> </w:t>
      </w:r>
      <w:r>
        <w:t xml:space="preserve">and PET 0 and 0.5 exist only in the Random design.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measured PET offset.</w:t>
      </w:r>
      <w:r>
        <w:t xml:space="preserve"> </w:t>
      </w:r>
      <w:r>
        <w:t xml:space="preserve">With the conflict band defined as ±1 m around the</w:t>
      </w:r>
      <w:r>
        <w:t xml:space="preserve"> </w:t>
      </w:r>
      <w:r>
        <w:t xml:space="preserve">oncoming’s lateral position, measured PET exceeds the design value by 0.7 to 1.2 s</w:t>
      </w:r>
      <w:r>
        <w:t xml:space="preserve"> </w:t>
      </w:r>
      <w:r>
        <w:t xml:space="preserve">(mean 0.96 s). The design’s conflict-zone extent is not documented; the offset is</w:t>
      </w:r>
      <w:r>
        <w:t xml:space="preserve"> </w:t>
      </w:r>
      <w:r>
        <w:t xml:space="preserve">near-constant and does not affect any ordering, but any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statement about</w:t>
      </w:r>
      <w:r>
        <w:t xml:space="preserve"> </w:t>
      </w:r>
      <w:r>
        <w:t xml:space="preserve">PET should quote the design value and say how the zone was defined.</w:t>
      </w:r>
    </w:p>
    <w:bookmarkEnd w:id="13"/>
    <w:bookmarkStart w:id="14" w:name="cards"/>
    <w:p>
      <w:pPr>
        <w:pStyle w:val="Heading2"/>
      </w:pPr>
      <w:r>
        <w:t xml:space="preserve">5 Cards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B.3.v2 (this note’s construction).</w:t>
      </w:r>
      <w:r>
        <w:t xml:space="preserve"> </w:t>
      </w:r>
      <w:r>
        <w:t xml:space="preserve">The loader</w:t>
      </w:r>
      <w:r>
        <w:t xml:space="preserve"> </w:t>
      </w:r>
      <w:r>
        <w:rPr>
          <w:rStyle w:val="VerbatimChar"/>
        </w:rPr>
        <w:t xml:space="preserve">src/comfortzone/ltap.py</w:t>
      </w:r>
      <w:r>
        <w:t xml:space="preserve"> </w:t>
      </w:r>
      <w:r>
        <w:t xml:space="preserve">(roles by</w:t>
      </w:r>
      <w:r>
        <w:t xml:space="preserve"> </w:t>
      </w:r>
      <w:r>
        <w:t xml:space="preserve">yaw span, turn onset, conflict point, t_sep and D at the decision moment), the</w:t>
      </w:r>
      <w:r>
        <w:t xml:space="preserve"> </w:t>
      </w:r>
      <w:r>
        <w:t xml:space="preserve">property tests above, and</w:t>
      </w:r>
      <w:r>
        <w:t xml:space="preserve"> </w:t>
      </w:r>
      <w:r>
        <w:rPr>
          <w:rStyle w:val="VerbatimChar"/>
        </w:rPr>
        <w:t xml:space="preserve">replication/czb/ltap_two_axis.py</w:t>
      </w:r>
      <w:r>
        <w:t xml:space="preserve"> </w:t>
      </w:r>
      <w:r>
        <w:t xml:space="preserve">running the section-2</w:t>
      </w:r>
      <w:r>
        <w:t xml:space="preserve"> </w:t>
      </w:r>
      <w:r>
        <w:t xml:space="preserve">comparison with its pre-stated rule; output</w:t>
      </w:r>
      <w:r>
        <w:t xml:space="preserve"> </w:t>
      </w:r>
      <w:r>
        <w:rPr>
          <w:rStyle w:val="VerbatimChar"/>
        </w:rPr>
        <w:t xml:space="preserve">out/ltap_two_axis.md</w:t>
      </w:r>
      <w:r>
        <w:t xml:space="preserve">. Query B3.Q1 (the</w:t>
      </w:r>
      <w:r>
        <w:t xml:space="preserve"> </w:t>
      </w:r>
      <w:r>
        <w:t xml:space="preserve">Random clip end) is to be resolved before the covariates are read.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Then EL.2</w:t>
      </w:r>
      <w:r>
        <w:t xml:space="preserve"> </w:t>
      </w:r>
      <w:r>
        <w:t xml:space="preserve">as specified in the ellipse note, with LTAP as the scenario on which the</w:t>
      </w:r>
      <w:r>
        <w:t xml:space="preserve"> </w:t>
      </w:r>
      <w:r>
        <w:t xml:space="preserve">second axis is expected to matter most.</w:t>
      </w:r>
    </w:p>
    <w:bookmarkEnd w:id="14"/>
    <w:bookmarkStart w:id="15" w:name="where-i-may-be-wrong"/>
    <w:p>
      <w:pPr>
        <w:pStyle w:val="Heading2"/>
      </w:pPr>
      <w:r>
        <w:t xml:space="preserve">6 Where I may be wrong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t xml:space="preserve">“distance with a speed residual”</w:t>
      </w:r>
      <w:r>
        <w:t xml:space="preserve"> </w:t>
      </w:r>
      <w:r>
        <w:t xml:space="preserve">reading rests on interpolating the 50 km/h</w:t>
      </w:r>
      <w:r>
        <w:t xml:space="preserve"> </w:t>
      </w:r>
      <w:r>
        <w:t xml:space="preserve">distance–response curve at five PET levels; the residual is consistent in sign but</w:t>
      </w:r>
      <w:r>
        <w:t xml:space="preserve"> </w:t>
      </w:r>
      <w:r>
        <w:t xml:space="preserve">0.06 in size, against cell standard errors of roughly 0.03–0.04 (172 trials at</w:t>
      </w:r>
      <w:r>
        <w:t xml:space="preserve"> </w:t>
      </w:r>
      <w:r>
        <w:t xml:space="preserve">P ≈ 0.5). It is suggestive, and the section-2 comparison is the test.</w:t>
      </w:r>
    </w:p>
    <w:p>
      <w:pPr>
        <w:pStyle w:val="Compact"/>
        <w:numPr>
          <w:ilvl w:val="0"/>
          <w:numId w:val="1006"/>
        </w:numPr>
      </w:pPr>
      <w:r>
        <w:t xml:space="preserve">The Random clip’s end time is assumed equal to the Button window’s. If Random clips</w:t>
      </w:r>
      <w:r>
        <w:t xml:space="preserve"> </w:t>
      </w:r>
      <w:r>
        <w:t xml:space="preserve">run past turn onset, the decision moment moves and the covariates change; the ordering</w:t>
      </w:r>
      <w:r>
        <w:t xml:space="preserve"> </w:t>
      </w:r>
      <w:r>
        <w:t xml:space="preserve">arguments survive, the absolute distances do not.</w:t>
      </w:r>
    </w:p>
    <w:p>
      <w:pPr>
        <w:pStyle w:val="Compact"/>
        <w:numPr>
          <w:ilvl w:val="0"/>
          <w:numId w:val="1006"/>
        </w:numPr>
      </w:pPr>
      <w:r>
        <w:t xml:space="preserve">The measured geometry uses a ±1 m band; a wider or narrower band shifts every t_in and</w:t>
      </w:r>
      <w:r>
        <w:t xml:space="preserve"> </w:t>
      </w:r>
      <w:r>
        <w:t xml:space="preserve">t_out by the same amount and leaves the between-condition differences alone.</w:t>
      </w:r>
    </w:p>
    <w:p>
      <w:pPr>
        <w:pStyle w:val="Compact"/>
        <w:numPr>
          <w:ilvl w:val="0"/>
          <w:numId w:val="1006"/>
        </w:numPr>
      </w:pPr>
      <w:r>
        <w:t xml:space="preserve">Section 3’s judgment that the field route would fail for the cut-in’s reasons is an</w:t>
      </w:r>
      <w:r>
        <w:t xml:space="preserve"> </w:t>
      </w:r>
      <w:r>
        <w:t xml:space="preserve">inference from the pipeline review, not a result on this scenario.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2026-09-02T09:45:09Z</dcterms:created>
  <dcterms:modified xsi:type="dcterms:W3CDTF">2026-09-02T09:45:09Z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