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357732f00f248ce021222e1a964fa64480e69c3"/>
    <w:p>
      <w:pPr>
        <w:pStyle w:val="Heading1"/>
      </w:pPr>
      <w:r>
        <w:t xml:space="preserve">Crash causation with an active-inference response process: method and results</w:t>
      </w:r>
    </w:p>
    <w:p>
      <w:pPr>
        <w:pStyle w:val="FirstParagraph"/>
      </w:pPr>
      <w:r>
        <w:t xml:space="preserve">Results document, 2026-08-24 (revised the same day after the counterfactual and</w:t>
      </w:r>
      <w:r>
        <w:t xml:space="preserve"> </w:t>
      </w:r>
      <w:r>
        <w:t xml:space="preserve">glance-placement decisions; the first version’s numbers are superseded but reproducible</w:t>
      </w:r>
      <w:r>
        <w:t xml:space="preserve"> </w:t>
      </w:r>
      <w:r>
        <w:t xml:space="preserve">from the tagged outputs). Prepared by Claude at the request of Jonas Bärgman. Markdown is</w:t>
      </w:r>
      <w:r>
        <w:t xml:space="preserve"> </w:t>
      </w:r>
      <w:r>
        <w:t xml:space="preserve">the source; Word and PDF are generated from it. The design, the reading notes on the</w:t>
      </w:r>
      <w:r>
        <w:t xml:space="preserve"> </w:t>
      </w:r>
      <w:r>
        <w:t xml:space="preserve">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. Provenance tags:</w:t>
      </w:r>
      <w:r>
        <w:t xml:space="preserve"> </w:t>
      </w:r>
      <w:r>
        <w:t xml:space="preserve">[B24] Bärgman, Svärd, Lundell &amp; Hartelius (2024), [W25a] Wu et al. (2025, scenario</w:t>
      </w:r>
      <w:r>
        <w:t xml:space="preserve"> </w:t>
      </w:r>
      <w:r>
        <w:t xml:space="preserve">generation), [W26] Wu et al. (2026, practical validation), [Code] the Schumann et al.</w:t>
      </w:r>
      <w:r>
        <w:t xml:space="preserve"> </w:t>
      </w:r>
      <w:r>
        <w:t xml:space="preserve">released code, [OSF] their deposit, [Repo] this repository, [Opinion] a judgment.</w:t>
      </w:r>
    </w:p>
    <w:p>
      <w:r>
        <w:pict>
          <v:rect style="width:0;height:1.5pt" o:hralign="center" o:hrstd="t" o:hr="t"/>
        </w:pict>
      </w:r>
    </w:p>
    <w:bookmarkStart w:id="9" w:name="the-method-in-one-page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 a crash-causation model — and what does it add or cost relative to the fixed-delay</w:t>
      </w:r>
      <w:r>
        <w:t xml:space="preserve"> </w:t>
      </w:r>
      <w:r>
        <w:t xml:space="preserve">response of the crash-causation model (CBM) of [B24]?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</w:t>
      </w:r>
      <w:r>
        <w:t xml:space="preserve"> </w:t>
      </w:r>
      <w:r>
        <w:t xml:space="preserve">by initial speed) from the 5 000 synthetic QUADRIS scenarios of [W25a]; every seed</w:t>
      </w:r>
      <w:r>
        <w:t xml:space="preserve"> </w:t>
      </w:r>
      <w:r>
        <w:t xml:space="preserve">carries 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counterfactual.</w:t>
      </w:r>
      <w:r>
        <w:t xml:space="preserve"> </w:t>
      </w:r>
      <w:r>
        <w:t xml:space="preserve">Before the modeled response, the follower runs the seed’s</w:t>
      </w:r>
      <w:r>
        <w:t xml:space="preserve"> </w:t>
      </w:r>
      <w:r>
        <w:t xml:space="preserve">original speed profile</w:t>
      </w:r>
      <w:r>
        <w:t xml:space="preserve"> </w:t>
      </w:r>
      <w:r>
        <w:rPr>
          <w:b/>
          <w:bCs/>
        </w:rPr>
        <w:t xml:space="preserve">with its braking removed from the lead’s braking onset onward</w:t>
      </w:r>
      <w:r>
        <w:t xml:space="preserve"> </w:t>
      </w:r>
      <w:r>
        <w:t xml:space="preserve">(acceleration clamped at ≥ 0). This keeps the accelerating creeping/queue seeds intact</w:t>
      </w:r>
      <w:r>
        <w:t xml:space="preserve"> </w:t>
      </w:r>
      <w:r>
        <w:t xml:space="preserve">while excluding the generator-follower’s own evasive action, which the plain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profile embeds in 14 of 100 seeds. Clamping from t = 0 instead changes headline results</w:t>
      </w:r>
      <w:r>
        <w:t xml:space="preserve"> </w:t>
      </w:r>
      <w:r>
        <w:t xml:space="preserve">by only a few percent (section 4.4), so the rule choice is not consequential.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, each switchable: off-road glances, too-close following</w:t>
      </w:r>
      <w:r>
        <w:t xml:space="preserve"> </w:t>
      </w:r>
      <w:r>
        <w:t xml:space="preserve">(inherent in the seed), a maximum-deceleration cap, a no-response mixture (10% of</w:t>
      </w:r>
      <w:r>
        <w:t xml:space="preserve"> </w:t>
      </w:r>
      <w:r>
        <w:t xml:space="preserve">crashes [B24]), and — added at the study’s request — the</w:t>
      </w:r>
      <w:r>
        <w:t xml:space="preserve"> </w:t>
      </w:r>
      <w:r>
        <w:rPr>
          <w:b/>
          <w:bCs/>
        </w:rPr>
        <w:t xml:space="preserve">abnormal-acceleration</w:t>
      </w:r>
      <w:r>
        <w:rPr>
          <w:b/>
          <w:bCs/>
        </w:rPr>
        <w:t xml:space="preserve"> </w:t>
      </w:r>
      <w:r>
        <w:rPr>
          <w:b/>
          <w:bCs/>
        </w:rPr>
        <w:t xml:space="preserve">follower</w:t>
      </w:r>
      <w:r>
        <w:t xml:space="preserve"> </w:t>
      </w:r>
      <w:r>
        <w:t xml:space="preserve">of [W25a]: 9.2% of crashes, the follower ignoring the lead at a constant</w:t>
      </w:r>
      <w:r>
        <w:t xml:space="preserve"> </w:t>
      </w:r>
      <w:r>
        <w:t xml:space="preserve">+1.8 m/s² (their fitted mean; their onset-time distribution is unpublished, so the</w:t>
      </w:r>
      <w:r>
        <w:t xml:space="preserve"> </w:t>
      </w:r>
      <w:r>
        <w:t xml:space="preserve">acceleration is applied from the lead’s braking onset).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distributions</w:t>
      </w:r>
      <w:r>
        <w:t xml:space="preserve"> </w:t>
      </w:r>
      <w:r>
        <w:t xml:space="preserve">digitized from [B24]’s published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replication/causation/digitize_b24.py</w:t>
      </w:r>
      <w:r>
        <w:t xml:space="preserve">): the SHRP2 off-road glance distribution</w:t>
      </w:r>
      <w:r>
        <w:t xml:space="preserve"> </w:t>
      </w:r>
      <w:r>
        <w:t xml:space="preserve">(vector-exact; two independent axis calibrations agree within 0.9%; on-road point mass</w:t>
      </w:r>
      <w:r>
        <w:t xml:space="preserve"> </w:t>
      </w:r>
      <w:r>
        <w:t xml:space="preserve">0.80) and the 45-crash maximum-deceleration histogram (integer counts summing to</w:t>
      </w:r>
      <w:r>
        <w:t xml:space="preserve"> </w:t>
      </w:r>
      <w:r>
        <w:t xml:space="preserve">exactly 45).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Glance placement.</w:t>
      </w:r>
      <w:r>
        <w:t xml:space="preserve"> </w:t>
      </w:r>
      <w:r>
        <w:t xml:space="preserve">Primary: the</w:t>
      </w:r>
      <w:r>
        <w:t xml:space="preserve"> </w:t>
      </w:r>
      <w:r>
        <w:rPr>
          <w:b/>
          <w:bCs/>
        </w:rPr>
        <w:t xml:space="preserve">renewal process</w:t>
      </w:r>
      <w:r>
        <w:t xml:space="preserve"> </w:t>
      </w:r>
      <w:r>
        <w:t xml:space="preserve">— on/off glance sequences over</w:t>
      </w:r>
      <w:r>
        <w:t xml:space="preserve"> </w:t>
      </w:r>
      <w:r>
        <w:t xml:space="preserve">the whole scenario, off-road durations from the digitized distribution, on-road dwells</w:t>
      </w:r>
      <w:r>
        <w:t xml:space="preserve"> </w:t>
      </w:r>
      <w:r>
        <w:t xml:space="preserve">exponential with the mean set by the 80% on-road share, 50 Monte Carlo draws per seed</w:t>
      </w:r>
      <w:r>
        <w:t xml:space="preserve"> </w:t>
      </w:r>
      <w:r>
        <w:t xml:space="preserve">(flagged for a later increase). The [B24] anchored-overshot construction is kept as the</w:t>
      </w:r>
      <w:r>
        <w:t xml:space="preserve"> </w:t>
      </w:r>
      <w:r>
        <w:t xml:space="preserve">CBM-native comparison case; section 4.5 quantifies what the process placement buys.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CBM’s (respond 0.5 s after eyes</w:t>
      </w:r>
      <w:r>
        <w:t xml:space="preserve"> </w:t>
      </w:r>
      <w:r>
        <w:t xml:space="preserve">return; ramp to the drawn deceleration) and the tier-1 active-inference surrogate (the</w:t>
      </w:r>
      <w:r>
        <w:t xml:space="preserve"> </w:t>
      </w:r>
      <w:r>
        <w:t xml:space="preserve">model’s preference function on the seed kinematics, fed through its evidence</w:t>
      </w:r>
      <w:r>
        <w:t xml:space="preserve"> </w:t>
      </w:r>
      <w:r>
        <w:t xml:space="preserve">accumulator, drift rate calibrated on the authors’ 896 deposited trials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 (benchmark). B: active inference + all</w:t>
      </w:r>
      <w:r>
        <w:t xml:space="preserve"> </w:t>
      </w:r>
      <w:r>
        <w:t xml:space="preserve">components. C: CBM response + all components (the control). D: active inference +</w:t>
      </w:r>
      <w:r>
        <w:t xml:space="preserve"> </w:t>
      </w:r>
      <w:r>
        <w:t xml:space="preserve">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[W26] equivalence</w:t>
      </w:r>
      <w:r>
        <w:t xml:space="preserve"> </w:t>
      </w:r>
      <w:r>
        <w:t xml:space="preserve">framework (θ/Θ, ROPEs 0.10/0.05, bootstrap HDIs), crashes weighted by Eq. 10, plus the</w:t>
      </w:r>
      <w:r>
        <w:t xml:space="preserve"> </w:t>
      </w:r>
      <w:r>
        <w:t xml:space="preserve">exposure-weight variant (plan §6b). Metrics: P_inj,</w:t>
      </w:r>
      <w:r>
        <w:t xml:space="preserve"> </w:t>
      </w:r>
      <w:r>
        <w:rPr>
          <w:b/>
          <w:bCs/>
        </w:rPr>
        <w:t xml:space="preserve">relative speed at impact</w:t>
      </w:r>
      <w:r>
        <w:t xml:space="preserve"> </w:t>
      </w:r>
      <w:r>
        <w:t xml:space="preserve">(the</w:t>
      </w:r>
      <w:r>
        <w:t xml:space="preserve"> </w:t>
      </w:r>
      <w:r>
        <w:t xml:space="preserve">assumption-free severity primitive; the deposit’s delta-v was derived from it under</w:t>
      </w:r>
      <w:r>
        <w:t xml:space="preserve"> </w:t>
      </w:r>
      <w:r>
        <w:t xml:space="preserve">equal masses), t_nr, and the follower’s minimum acceleration.</w:t>
      </w:r>
    </w:p>
    <w:bookmarkEnd w:id="9"/>
    <w:bookmarkStart w:id="13" w:name="input-distributions"/>
    <w:p>
      <w:pPr>
        <w:pStyle w:val="Heading2"/>
      </w:pPr>
      <w:r>
        <w:t xml:space="preserve">2 Input distributions</w:t>
      </w:r>
    </w:p>
    <w:p>
      <w:pPr>
        <w:pStyle w:val="CaptionedFigure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Digitized input distributions against the earlier stand-ins</w:t>
      </w:r>
    </w:p>
    <w:p>
      <w:pPr>
        <w:pStyle w:val="BodyText"/>
      </w:pPr>
      <w:r>
        <w:t xml:space="preserve">The digitized glance distribution is close to the earlier lognormal stand-in (mode ~0.2 s</w:t>
      </w:r>
      <w:r>
        <w:t xml:space="preserve"> </w:t>
      </w:r>
      <w:r>
        <w:t xml:space="preserve">later); the deceleration distribution is not — the real one has 24% of its mass at</w:t>
      </w:r>
      <w:r>
        <w:t xml:space="preserve"> </w:t>
      </w:r>
      <w:r>
        <w:t xml:space="preserve">7.5 m/s² and harder, where the stand-in had almost none. All results below use the</w:t>
      </w:r>
      <w:r>
        <w:t xml:space="preserve"> </w:t>
      </w:r>
      <w:r>
        <w:t xml:space="preserve">digitized distributions.</w:t>
      </w:r>
    </w:p>
    <w:bookmarkEnd w:id="13"/>
    <w:bookmarkStart w:id="14" w:name="crash-generation"/>
    <w:p>
      <w:pPr>
        <w:pStyle w:val="Heading2"/>
      </w:pPr>
      <w:r>
        <w:t xml:space="preserve">3 Crash generation</w:t>
      </w:r>
    </w:p>
    <w:p>
      <w:pPr>
        <w:pStyle w:val="FirstParagraph"/>
      </w:pPr>
      <w:r>
        <w:rPr>
          <w:b/>
          <w:bCs/>
        </w:rPr>
        <w:t xml:space="preserve">Full population (all 5 000 seeds, 2026-08-25).</w:t>
      </w:r>
      <w:r>
        <w:t xml:space="preserve"> </w:t>
      </w:r>
      <w:r>
        <w:t xml:space="preserve">With the no-brake counterfactual,</w:t>
      </w:r>
      <w:r>
        <w:t xml:space="preserve"> </w:t>
      </w:r>
      <w:r>
        <w:t xml:space="preserve">process glances for the active-inference conditions, anchored glances for the CBM</w:t>
      </w:r>
      <w:r>
        <w:t xml:space="preserve"> </w:t>
      </w:r>
      <w:r>
        <w:t xml:space="preserve">control, and 10 process draws per seed: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draw)</w:t>
            </w:r>
          </w:p>
        </w:tc>
        <w:tc>
          <w:tcPr/>
          <w:p>
            <w:pPr>
              <w:pStyle w:val="Compact"/>
            </w:pPr>
            <w:r>
              <w:t xml:space="preserve">weighted crash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1 635/5 000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3 854/5 000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4 705/5 000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3 854/5 000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</w:tr>
    </w:tbl>
    <w:p>
      <w:pPr>
        <w:pStyle w:val="BodyText"/>
      </w:pPr>
      <w:r>
        <w:t xml:space="preserve">(The earlier 100-seed tables’</w:t>
      </w:r>
      <w:r>
        <w:t xml:space="preserve"> </w:t>
      </w:r>
      <w:r>
        <w:t xml:space="preserve">“weighted crash prob”</w:t>
      </w:r>
      <w:r>
        <w:t xml:space="preserve"> </w:t>
      </w:r>
      <w:r>
        <w:t xml:space="preserve">column was normalized against the</w:t>
      </w:r>
      <w:r>
        <w:t xml:space="preserve"> </w:t>
      </w:r>
      <w:r>
        <w:t xml:space="preserve">full reference weight and is therefore a share, not a rate; the population rates above</w:t>
      </w:r>
      <w:r>
        <w:t xml:space="preserve"> </w:t>
      </w:r>
      <w:r>
        <w:t xml:space="preserve">supersede it. Ratios between conditions were and remain comparable.)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attentive active-inference driver avoids 67% of the QUADRIS crash population</w:t>
      </w:r>
      <w:r>
        <w:t xml:space="preserve"> </w:t>
      </w:r>
      <w:r>
        <w:t xml:space="preserve">(3 365 of 5 000 seeds) across the full deceleration sweep; the rest are the</w:t>
      </w:r>
      <w:r>
        <w:t xml:space="preserve"> </w:t>
      </w:r>
      <w:r>
        <w:t xml:space="preserve">kinematically hard core, concentrated at short headways.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response process drives a factor ~4.7 in crash probability</w:t>
      </w:r>
      <w:r>
        <w:t xml:space="preserve"> </w:t>
      </w:r>
      <w:r>
        <w:t xml:space="preserve">(B 0.280 versus C</w:t>
      </w:r>
      <w:r>
        <w:t xml:space="preserve"> </w:t>
      </w:r>
      <w:r>
        <w:t xml:space="preserve">0.059 with identical components), from timing: the active-inference accumulator’s</w:t>
      </w:r>
      <w:r>
        <w:t xml:space="preserve"> </w:t>
      </w:r>
      <w:r>
        <w:t xml:space="preserve">attentive onsets sit at a median 1.25 s after the τ⁻¹ = 0.2 s⁻¹ anchor (IQR</w:t>
      </w:r>
      <w:r>
        <w:t xml:space="preserve"> </w:t>
      </w:r>
      <w:r>
        <w:t xml:space="preserve">0.50–1.75 s) against the CBM’s fixed 0.50 s (section 5).</w:t>
      </w:r>
    </w:p>
    <w:p>
      <w:pPr>
        <w:pStyle w:val="Compact"/>
        <w:numPr>
          <w:ilvl w:val="0"/>
          <w:numId w:val="1002"/>
        </w:numPr>
      </w:pPr>
      <w:r>
        <w:t xml:space="preserve">The crash rate was initially sensitive to the accumulator’s starting level (zero</w:t>
      </w:r>
      <w:r>
        <w:t xml:space="preserve"> </w:t>
      </w:r>
      <w:r>
        <w:t xml:space="preserve">start 0.023 versus 0.004 with a</w:t>
      </w:r>
      <w:r>
        <w:t xml:space="preserve"> </w:t>
      </w:r>
      <w:r>
        <w:t xml:space="preserve">“stationary”</w:t>
      </w:r>
      <w:r>
        <w:t xml:space="preserve"> </w:t>
      </w:r>
      <w:r>
        <w:t xml:space="preserve">half-threshold start), but the tier-2</w:t>
      </w:r>
      <w:r>
        <w:t xml:space="preserve"> </w:t>
      </w:r>
      <w:r>
        <w:t xml:space="preserve">arbiter run has</w:t>
      </w:r>
      <w:r>
        <w:t xml:space="preserve"> </w:t>
      </w:r>
      <w:r>
        <w:rPr>
          <w:b/>
          <w:bCs/>
        </w:rPr>
        <w:t xml:space="preserve">resolved the convention in favor of the zero start</w:t>
      </w:r>
      <w:r>
        <w:t xml:space="preserve"> </w:t>
      </w:r>
      <w:r>
        <w:t xml:space="preserve">(section 5):</w:t>
      </w:r>
      <w:r>
        <w:t xml:space="preserve"> </w:t>
      </w:r>
      <w:r>
        <w:t xml:space="preserve">the closed-loop model’s own onsets match the zero-start surrogate to a median 0.42 s</w:t>
      </w:r>
      <w:r>
        <w:t xml:space="preserve"> </w:t>
      </w:r>
      <w:r>
        <w:t xml:space="preserve">across 24 seeds and reject the stationary start on 20 of 24. The 0.023 figure stands;</w:t>
      </w:r>
      <w:r>
        <w:t xml:space="preserve"> </w:t>
      </w:r>
      <w:r>
        <w:t xml:space="preserve">the stationary variant remains in the outputs as a tested-and-rejected sensitivity.</w:t>
      </w:r>
    </w:p>
    <w:bookmarkEnd w:id="14"/>
    <w:bookmarkStart w:id="28" w:name="comparison-with-the-original-data"/>
    <w:p>
      <w:pPr>
        <w:pStyle w:val="Heading2"/>
      </w:pPr>
      <w:r>
        <w:t xml:space="preserve">4 Comparison with the original data</w:t>
      </w:r>
    </w:p>
    <w:bookmarkStart w:id="15" w:name="summary-statistics-full-population"/>
    <w:p>
      <w:pPr>
        <w:pStyle w:val="Heading3"/>
      </w:pPr>
      <w:r>
        <w:t xml:space="preserve">4.1 Summary statistics (full population)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weights; all conditions on all 5 000 seeds: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rel. speed at impact [m/s]</w:t>
            </w:r>
          </w:p>
        </w:tc>
        <w:tc>
          <w:tcPr/>
          <w:p>
            <w:pPr>
              <w:pStyle w:val="Compact"/>
            </w:pPr>
            <w:r>
              <w:t xml:space="preserve">mean P_inj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0.0052</w:t>
            </w:r>
          </w:p>
        </w:tc>
        <w:tc>
          <w:tcPr/>
          <w:p>
            <w:pPr>
              <w:pStyle w:val="Compact"/>
            </w:pPr>
            <w:r>
              <w:t xml:space="preserve">−3.46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3.34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t xml:space="preserve">3.63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3.63</w:t>
            </w:r>
          </w:p>
        </w:tc>
        <w:tc>
          <w:tcPr/>
          <w:p>
            <w:pPr>
              <w:pStyle w:val="Compact"/>
            </w:pPr>
            <w:r>
              <w:t xml:space="preserve">0.0068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</w:tbl>
    <w:p>
      <w:pPr>
        <w:pStyle w:val="BodyText"/>
      </w:pPr>
      <w:r>
        <w:t xml:space="preserve">The 100-seed sample’s over-production of mild crashes (its B median relative impact</w:t>
      </w:r>
      <w:r>
        <w:t xml:space="preserve"> </w:t>
      </w:r>
      <w:r>
        <w:t xml:space="preserve">speed was 1.88 m/s) largely dissolves at full population — it was substantially a</w:t>
      </w:r>
      <w:r>
        <w:t xml:space="preserve"> </w:t>
      </w:r>
      <w:r>
        <w:t xml:space="preserve">property of the weight-proportional sample, which concentrates on the common, benign</w:t>
      </w:r>
      <w:r>
        <w:t xml:space="preserve"> </w:t>
      </w:r>
      <w:r>
        <w:t xml:space="preserve">seeds. Severity medians now sit within 0.2 m/s of the reference for B and C alike, and</w:t>
      </w:r>
      <w:r>
        <w:t xml:space="preserve"> </w:t>
      </w:r>
      <w:r>
        <w:t xml:space="preserve">within 0.1 for the abnormal variants; the abnormal component overshoots the mean injury</w:t>
      </w:r>
      <w:r>
        <w:t xml:space="preserve"> </w:t>
      </w:r>
      <w:r>
        <w:t xml:space="preserve">risk slightly (+11%) where it landed exactly on it in the sample.</w:t>
      </w:r>
    </w:p>
    <w:bookmarkEnd w:id="15"/>
    <w:bookmarkStart w:id="19" w:name="distributions"/>
    <w:p>
      <w:pPr>
        <w:pStyle w:val="Heading3"/>
      </w:pPr>
      <w:r>
        <w:t xml:space="preserve">4.2 Distributions</w:t>
      </w:r>
    </w:p>
    <w:p>
      <w:pPr>
        <w:pStyle w:val="CaptionedFigure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Weighted metric distributions: reference vs conditions B and 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 (relative speed at impact).</w:t>
      </w:r>
      <w:r>
        <w:t xml:space="preserve"> </w:t>
      </w:r>
      <w:r>
        <w:t xml:space="preserve">At full population both response models track</w:t>
      </w:r>
      <w:r>
        <w:t xml:space="preserve"> </w:t>
      </w:r>
      <w:r>
        <w:t xml:space="preserve">the reference across the entire severity range — the distributions nearly overlay,</w:t>
      </w:r>
      <w:r>
        <w:t xml:space="preserve"> </w:t>
      </w:r>
      <w:r>
        <w:t xml:space="preserve">with B marginally under-producing the extreme tail and C marginally over-producing the</w:t>
      </w:r>
      <w:r>
        <w:t xml:space="preserve"> </w:t>
      </w:r>
      <w:r>
        <w:t xml:space="preserve">2–6 m/s range. (The figure shows the full-population run.)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Urgency (t_nr).</w:t>
      </w:r>
      <w:r>
        <w:t xml:space="preserve"> </w:t>
      </w:r>
      <w:r>
        <w:t xml:space="preserve">Essentially inherited from the seeds by both models,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 (follower minimum acceleration).</w:t>
      </w:r>
      <w:r>
        <w:t xml:space="preserve"> </w:t>
      </w:r>
      <w:r>
        <w:t xml:space="preserve">The remaining structural difference.</w:t>
      </w:r>
      <w:r>
        <w:t xml:space="preserve"> </w:t>
      </w:r>
      <w:r>
        <w:t xml:space="preserve">Condition B reproduces — indeed slightly overshoots — the reference’s dominant</w:t>
      </w:r>
      <w:r>
        <w:t xml:space="preserve"> </w:t>
      </w:r>
      <w:r>
        <w:t xml:space="preserve">non-braking spike (crashes in which a glance or the no-response class covers the</w:t>
      </w:r>
      <w:r>
        <w:t xml:space="preserve"> </w:t>
      </w:r>
      <w:r>
        <w:t xml:space="preserve">conflict); condition C cannot produce it and instead concentrates on its discrete</w:t>
      </w:r>
      <w:r>
        <w:t xml:space="preserve"> </w:t>
      </w:r>
      <w:r>
        <w:t xml:space="preserve">hard-braking values from the deceleration bins. This is the panel that keeps a_f,min</w:t>
      </w:r>
      <w:r>
        <w:t xml:space="preserve"> </w:t>
      </w:r>
      <w:r>
        <w:t xml:space="preserve">from passing for any configuration, and it separates the two response models more</w:t>
      </w:r>
      <w:r>
        <w:t xml:space="preserve"> </w:t>
      </w:r>
      <w:r>
        <w:t xml:space="preserve">clearly than severity does.</w:t>
      </w:r>
    </w:p>
    <w:bookmarkEnd w:id="19"/>
    <w:bookmarkStart w:id="20" w:name="equivalence-at-full-population"/>
    <w:p>
      <w:pPr>
        <w:pStyle w:val="Heading3"/>
      </w:pPr>
      <w:r>
        <w:t xml:space="preserve">4.3 Equivalence at full population</w:t>
      </w:r>
    </w:p>
    <w:p>
      <w:pPr>
        <w:pStyle w:val="FirstParagraph"/>
      </w:pPr>
      <w:r>
        <w:t xml:space="preserve">Headline θ (Eq. 10 weights, 95% bootstrap HDIs), all 5 000 seeds; full tables in</w:t>
      </w:r>
      <w:r>
        <w:t xml:space="preserve"> </w:t>
      </w:r>
      <w:r>
        <w:rPr>
          <w:rStyle w:val="VerbatimChar"/>
        </w:rPr>
        <w:t xml:space="preserve">replication/causation/out/summary_fullp.md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summary_fullp_abn.md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/ v_rel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0.31 [0.26, 0.35]</w:t>
            </w:r>
          </w:p>
        </w:tc>
        <w:tc>
          <w:tcPr/>
          <w:p>
            <w:pPr>
              <w:pStyle w:val="Compact"/>
            </w:pPr>
            <w:r>
              <w:t xml:space="preserve">0.38 [0.33, 0.45]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0.39 [0.35, 0.42]</w:t>
            </w:r>
          </w:p>
        </w:tc>
        <w:tc>
          <w:tcPr/>
          <w:p>
            <w:pPr>
              <w:pStyle w:val="Compact"/>
            </w:pPr>
            <w:r>
              <w:t xml:space="preserve">0.43 [0.38, 0.51]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D: glances only</w:t>
            </w:r>
          </w:p>
        </w:tc>
        <w:tc>
          <w:tcPr/>
          <w:p>
            <w:pPr>
              <w:pStyle w:val="Compact"/>
            </w:pPr>
            <w:r>
              <w:t xml:space="preserve">0.44 [0.39, 0.47]</w:t>
            </w:r>
          </w:p>
        </w:tc>
        <w:tc>
          <w:tcPr/>
          <w:p>
            <w:pPr>
              <w:pStyle w:val="Compact"/>
            </w:pPr>
            <w:r>
              <w:t xml:space="preserve">0.38 [0.33, 0.45]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0.148 [0.110, 0.204]</w:t>
            </w:r>
          </w:p>
        </w:tc>
        <w:tc>
          <w:tcPr/>
          <w:p>
            <w:pPr>
              <w:pStyle w:val="Compact"/>
            </w:pPr>
            <w:r>
              <w:t xml:space="preserve">0.42 [0.37, 0.47]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0.209 [0.176, 0.244]</w:t>
            </w:r>
          </w:p>
        </w:tc>
        <w:tc>
          <w:tcPr/>
          <w:p>
            <w:pPr>
              <w:pStyle w:val="Compact"/>
            </w:pPr>
            <w:r>
              <w:t xml:space="preserve">0.46 [0.42, 0.50]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intervals for the two abnormal-component rows were regenerated 2026-08-26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conventions settled in section 4.3b; point estimates are unchanged throughout. The first</w:t>
      </w:r>
      <w:r>
        <w:rPr>
          <w:i/>
          <w:iCs/>
        </w:rPr>
        <w:t xml:space="preserve"> </w:t>
      </w:r>
      <w:r>
        <w:rPr>
          <w:i/>
          <w:iCs/>
        </w:rPr>
        <w:t xml:space="preserve">three rows still carry pre-correction intervals and are marked as such below.</w:t>
      </w:r>
    </w:p>
    <w:p>
      <w:pPr>
        <w:pStyle w:val="BodyText"/>
      </w:pPr>
      <w:r>
        <w:t xml:space="preserve">Three things changed against the 100-seed sample. First, everything tightened and most</w:t>
      </w:r>
      <w:r>
        <w:t xml:space="preserve"> </w:t>
      </w:r>
      <w:r>
        <w:t xml:space="preserve">things improved — the sample’s widest HDIs were sampling noise. Second,</w:t>
      </w:r>
      <w:r>
        <w:t xml:space="preserve"> </w:t>
      </w:r>
      <w:r>
        <w:rPr>
          <w:b/>
          <w:bCs/>
        </w:rPr>
        <w:t xml:space="preserve">the ordering</w:t>
      </w:r>
      <w:r>
        <w:rPr>
          <w:b/>
          <w:bCs/>
        </w:rPr>
        <w:t xml:space="preserve"> </w:t>
      </w:r>
      <w:r>
        <w:rPr>
          <w:b/>
          <w:bCs/>
        </w:rPr>
        <w:t xml:space="preserve">reversed: the active-inference conditions are now closer to the reference than the CBM</w:t>
      </w:r>
      <w:r>
        <w:rPr>
          <w:b/>
          <w:bCs/>
        </w:rPr>
        <w:t xml:space="preserve"> </w:t>
      </w:r>
      <w:r>
        <w:rPr>
          <w:b/>
          <w:bCs/>
        </w:rPr>
        <w:t xml:space="preserve">control on severity</w:t>
      </w:r>
      <w:r>
        <w:t xml:space="preserve"> </w:t>
      </w:r>
      <w:r>
        <w:t xml:space="preserve">(B 0.31 versus C 0.39; with the abnormal component 0.148 versus</w:t>
      </w:r>
      <w:r>
        <w:t xml:space="preserve"> </w:t>
      </w:r>
      <w:r>
        <w:t xml:space="preserve">0.209) — the control’s advantage in the sample did not survive the population, and the</w:t>
      </w:r>
      <w:r>
        <w:t xml:space="preserve"> </w:t>
      </w:r>
      <w:r>
        <w:t xml:space="preserve">ordering is confirmed as a paired difference in section 4.3b-ii. Third, the best</w:t>
      </w:r>
      <w:r>
        <w:t xml:space="preserve"> </w:t>
      </w:r>
      <w:r>
        <w:t xml:space="preserve">configuration — active inference with all five components — reaches</w:t>
      </w:r>
      <w:r>
        <w:t xml:space="preserve"> </w:t>
      </w:r>
      <w:r>
        <w:rPr>
          <w:b/>
          <w:bCs/>
        </w:rPr>
        <w:t xml:space="preserve">P_inj θ = 0.148</w:t>
      </w:r>
      <w:r>
        <w:t xml:space="preserve">,</w:t>
      </w:r>
      <w:r>
        <w:t xml:space="preserve"> </w:t>
      </w:r>
      <w:r>
        <w:t xml:space="preserve">down from the factor of 14 the study started from. Whether that constitutes practical</w:t>
      </w:r>
      <w:r>
        <w:t xml:space="preserve"> </w:t>
      </w:r>
      <w:r>
        <w:t xml:space="preserve">equivalence depends on a threshold this document no longer inherits: against the project’s</w:t>
      </w:r>
      <w:r>
        <w:t xml:space="preserve"> </w:t>
      </w:r>
      <w:r>
        <w:t xml:space="preserve">adopted θthd = 0.188 the point estimate passes but the interval’s upper end does not</w:t>
      </w:r>
      <w:r>
        <w:t xml:space="preserve"> </w:t>
      </w:r>
      <w:r>
        <w:t xml:space="preserve">(section 4.3b). The braking distribution (a_f,min) remains the largest departure for every</w:t>
      </w:r>
      <w:r>
        <w:t xml:space="preserve"> </w:t>
      </w:r>
      <w:r>
        <w:t xml:space="preserve">configuration, though section 4.3c shows that its θ overstates the case badly.</w:t>
      </w:r>
    </w:p>
    <w:bookmarkEnd w:id="20"/>
    <w:bookmarkStart w:id="21" w:name="Xf1b6ac4862c8062dc031bc0ab36f24ebb61fa68"/>
    <w:p>
      <w:pPr>
        <w:pStyle w:val="Heading3"/>
      </w:pPr>
      <w:r>
        <w:t xml:space="preserve">4.3b How the intervals above were produced, and a correction (2026-08-26)</w:t>
      </w:r>
    </w:p>
    <w:p>
      <w:pPr>
        <w:pStyle w:val="FirstParagraph"/>
      </w:pPr>
      <w:r>
        <w:t xml:space="preserve">The bootstrap used to produce the credible intervals in section 4.3 drew reference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with probability proportional to their weight and then treated the resample as unweighted.</w:t>
      </w:r>
      <w:r>
        <w:t xml:space="preserve"> </w:t>
      </w:r>
      <w:r>
        <w:t xml:space="preserve">That gives the precision of 5 000 independent draws. The QUADRIS reference is weighted</w:t>
      </w:r>
      <w:r>
        <w:t xml:space="preserve"> </w:t>
      </w:r>
      <w:r>
        <w:t xml:space="preserve">strongly enough that its effective sample size is</w:t>
      </w:r>
      <w:r>
        <w:t xml:space="preserve"> </w:t>
      </w:r>
      <w:r>
        <w:rPr>
          <w:b/>
          <w:bCs/>
        </w:rPr>
        <w:t xml:space="preserve">950, not 5 000</w:t>
      </w:r>
      <w:r>
        <w:t xml:space="preserve"> </w:t>
      </w:r>
      <w:r>
        <w:t xml:space="preserve">— the top 10% of</w:t>
      </w:r>
      <w:r>
        <w:t xml:space="preserve"> </w:t>
      </w:r>
      <w:r>
        <w:t xml:space="preserve">scenarios carry 54% of the weight — so the correct nonparametric bootstrap resamples the</w:t>
      </w:r>
      <w:r>
        <w:t xml:space="preserve"> </w:t>
      </w:r>
      <w:r>
        <w:t xml:space="preserve">scenarios uniformly and carries their weights.</w:t>
      </w:r>
    </w:p>
    <w:p>
      <w:pPr>
        <w:pStyle w:val="BodyText"/>
      </w:pPr>
      <w:r>
        <w:rPr>
          <w:b/>
          <w:bCs/>
        </w:rPr>
        <w:t xml:space="preserve">Consequence: every HDI produced before that date is too narrow, by roughly a factor of</w:t>
      </w:r>
      <w:r>
        <w:rPr>
          <w:b/>
          <w:bCs/>
        </w:rPr>
        <w:t xml:space="preserve"> </w:t>
      </w:r>
      <w:r>
        <w:rPr>
          <w:b/>
          <w:bCs/>
        </w:rPr>
        <w:t xml:space="preserve">two.</w:t>
      </w:r>
      <w:r>
        <w:t xml:space="preserve"> </w:t>
      </w:r>
      <w:r>
        <w:t xml:space="preserve">On the severity metric the 95% upper bound for a model that is exactly right moves</w:t>
      </w:r>
      <w:r>
        <w:t xml:space="preserve"> </w:t>
      </w:r>
      <w:r>
        <w:t xml:space="preserve">from 0.075 to 0.177 at N = 5. Point estimates of θ and Θ are unaffected, so</w:t>
      </w:r>
      <w:r>
        <w:t xml:space="preserve"> </w:t>
      </w:r>
      <w:r>
        <w:rPr>
          <w:b/>
          <w:bCs/>
        </w:rPr>
        <w:t xml:space="preserve">the comparison</w:t>
      </w:r>
      <w:r>
        <w:rPr>
          <w:b/>
          <w:bCs/>
        </w:rPr>
        <w:t xml:space="preserve"> </w:t>
      </w:r>
      <w:r>
        <w:rPr>
          <w:b/>
          <w:bCs/>
        </w:rPr>
        <w:t xml:space="preserve">this study rests on — condition B closer to the reference than condition C — is unchanged</w:t>
      </w:r>
      <w:r>
        <w:t xml:space="preserve">,</w:t>
      </w:r>
      <w:r>
        <w:t xml:space="preserve"> </w:t>
      </w:r>
      <w:r>
        <w:t xml:space="preserve">as are all the per-bin diagnostics.</w:t>
      </w:r>
    </w:p>
    <w:p>
      <w:pPr>
        <w:pStyle w:val="BodyText"/>
      </w:pPr>
      <w:r>
        <w:rPr>
          <w:b/>
          <w:bCs/>
        </w:rPr>
        <w:t xml:space="preserve">What has and has not been regenerated.</w:t>
      </w:r>
      <w:r>
        <w:t xml:space="preserve"> </w:t>
      </w:r>
      <w:r>
        <w:t xml:space="preserve">The two abnormal-component rows of section 4.3,</w:t>
      </w:r>
      <w:r>
        <w:t xml:space="preserve"> </w:t>
      </w:r>
      <w:r>
        <w:t xml:space="preserve">the section 4.4 bin sweep and the summary files in</w:t>
      </w:r>
      <w:r>
        <w:t xml:space="preserve"> </w:t>
      </w:r>
      <w:r>
        <w:rPr>
          <w:rStyle w:val="VerbatimChar"/>
        </w:rPr>
        <w:t xml:space="preserve">replication/causation/out/</w:t>
      </w:r>
      <w:r>
        <w:t xml:space="preserve"> </w:t>
      </w:r>
      <w:r>
        <w:t xml:space="preserve">have been</w:t>
      </w:r>
      <w:r>
        <w:t xml:space="preserve"> </w:t>
      </w:r>
      <w:r>
        <w:t xml:space="preserve">regenerated under the conventions below. The first three rows of section 4.3 (conditions B,</w:t>
      </w:r>
      <w:r>
        <w:t xml:space="preserve"> </w:t>
      </w:r>
      <w:r>
        <w:t xml:space="preserve">C and D without the abnormal component) and the 100-seed sensitivity ladder still carry</w:t>
      </w:r>
      <w:r>
        <w:t xml:space="preserve"> </w:t>
      </w:r>
      <w:r>
        <w:t xml:space="preserve">pre-correction intervals; their point estimates stand, their intervals should be read as</w:t>
      </w:r>
      <w:r>
        <w:t xml:space="preserve"> </w:t>
      </w:r>
      <w:r>
        <w:t xml:space="preserve">roughly half as wide as they should be, and they are retained because nothing in the</w:t>
      </w:r>
      <w:r>
        <w:t xml:space="preserve"> </w:t>
      </w:r>
      <w:r>
        <w:t xml:space="preserve">argument depends on them.</w:t>
      </w:r>
    </w:p>
    <w:p>
      <w:pPr>
        <w:pStyle w:val="BodyText"/>
      </w:pPr>
      <w:r>
        <w:rPr>
          <w:b/>
          <w:bCs/>
        </w:rPr>
        <w:t xml:space="preserve">Resolution (2026-08-26).</w:t>
      </w:r>
      <w:r>
        <w:t xml:space="preserve"> </w:t>
      </w:r>
      <w:r>
        <w:t xml:space="preserve">The defect prompted a decision that had been left implicit:</w:t>
      </w:r>
      <w:r>
        <w:t xml:space="preserve"> </w:t>
      </w:r>
      <w:r>
        <w:t xml:space="preserve">whether the 5 000 QUADRIS scenarios are the</w:t>
      </w:r>
      <w:r>
        <w:t xml:space="preserve"> </w:t>
      </w:r>
      <w:r>
        <w:rPr>
          <w:i/>
          <w:iCs/>
        </w:rPr>
        <w:t xml:space="preserve">target population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sample</w:t>
      </w:r>
      <w:r>
        <w:t xml:space="preserve"> </w:t>
      </w:r>
      <w:r>
        <w:t xml:space="preserve">from the</w:t>
      </w:r>
      <w:r>
        <w:t xml:space="preserve"> </w:t>
      </w:r>
      <w:r>
        <w:t xml:space="preserve">generator. The project’s convention is now the former, on the grounds that this study</w:t>
      </w:r>
      <w:r>
        <w:t xml:space="preserve"> </w:t>
      </w:r>
      <w:r>
        <w:t xml:space="preserve">compares response processes on a fixed, shared ensemble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docs/equivalence_rope_note.md</w:t>
      </w:r>
      <w:r>
        <w:t xml:space="preserve"> </w:t>
      </w:r>
      <w:r>
        <w:t xml:space="preserve">§2.5).</w:t>
      </w:r>
      <w:r>
        <w:t xml:space="preserve"> </w:t>
      </w:r>
      <w:r>
        <w:rPr>
          <w:rStyle w:val="VerbatimChar"/>
        </w:rPr>
        <w:t xml:space="preserve">equivalence_test</w:t>
      </w:r>
      <w:r>
        <w:t xml:space="preserve"> </w:t>
      </w:r>
      <w:r>
        <w:t xml:space="preserve">therefore defaults to</w:t>
      </w:r>
      <w:r>
        <w:t xml:space="preserve"> </w:t>
      </w:r>
      <w:r>
        <w:rPr>
          <w:rStyle w:val="VerbatimChar"/>
        </w:rPr>
        <w:t xml:space="preserve">resample="population"</w:t>
      </w:r>
      <w:r>
        <w:t xml:space="preserve">, which fixes the bin edges and reference proportions and resamples</w:t>
      </w:r>
      <w:r>
        <w:t xml:space="preserve"> </w:t>
      </w:r>
      <w:r>
        <w:t xml:space="preserve">only the synthetic side;</w:t>
      </w:r>
      <w:r>
        <w:t xml:space="preserve"> </w:t>
      </w:r>
      <w:r>
        <w:rPr>
          <w:rStyle w:val="VerbatimChar"/>
        </w:rPr>
        <w:t xml:space="preserve">resample="cases"</w:t>
      </w:r>
      <w:r>
        <w:t xml:space="preserve"> </w:t>
      </w:r>
      <w:r>
        <w:t xml:space="preserve">implements the sample reading for any claim that</w:t>
      </w:r>
      <w:r>
        <w:t xml:space="preserve"> </w:t>
      </w:r>
      <w:r>
        <w:t xml:space="preserve">generalizes beyond the ensemble, and</w:t>
      </w:r>
      <w:r>
        <w:t xml:space="preserve"> </w:t>
      </w:r>
      <w:r>
        <w:rPr>
          <w:rStyle w:val="VerbatimChar"/>
        </w:rPr>
        <w:t xml:space="preserve">resample="values"</w:t>
      </w:r>
      <w:r>
        <w:t xml:space="preserve"> </w:t>
      </w:r>
      <w:r>
        <w:t xml:space="preserve">is retained solely to reproduce</w:t>
      </w:r>
      <w:r>
        <w:t xml:space="preserve"> </w:t>
      </w:r>
      <w:r>
        <w:t xml:space="preserve">pre-correction numbers.</w:t>
      </w:r>
      <w:r>
        <w:t xml:space="preserve"> </w:t>
      </w:r>
      <w:r>
        <w:rPr>
          <w:b/>
          <w:bCs/>
        </w:rPr>
        <w:t xml:space="preserve">The tables in section 4.3 have been regenerated under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convention</w:t>
      </w:r>
      <w:r>
        <w:t xml:space="preserve"> </w:t>
      </w:r>
      <w:r>
        <w:t xml:space="preserve">and now read: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severity θ</w:t>
            </w:r>
          </w:p>
        </w:tc>
        <w:tc>
          <w:tcPr/>
          <w:p>
            <w:pPr>
              <w:pStyle w:val="Compact"/>
            </w:pPr>
            <w:r>
              <w:t xml:space="preserve">95% HDI</w:t>
            </w:r>
          </w:p>
        </w:tc>
        <w:tc>
          <w:tcPr/>
          <w:p>
            <w:pPr>
              <w:pStyle w:val="Compact"/>
            </w:pPr>
            <w:r>
              <w:t xml:space="preserve">severity Θ</w:t>
            </w:r>
          </w:p>
        </w:tc>
        <w:tc>
          <w:tcPr/>
          <w:p>
            <w:pPr>
              <w:pStyle w:val="Compact"/>
            </w:pPr>
            <w:r>
              <w:t xml:space="preserve">95% HDI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[0.110, 0.204]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[0.068, 0.117]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[0.176, 0.244]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[0.132, 0.166]</w:t>
            </w:r>
          </w:p>
        </w:tc>
      </w:tr>
    </w:tbl>
    <w:p>
      <w:pPr>
        <w:pStyle w:val="BodyText"/>
      </w:pPr>
      <w:r>
        <w:t xml:space="preserve">The noise floor under this convention is about 0.021, so these intervals describe the model</w:t>
      </w:r>
      <w:r>
        <w:t xml:space="preserve"> </w:t>
      </w:r>
      <w:r>
        <w:t xml:space="preserve">rather than the instrument. Against the project’s adopted thresholds (θthd = 0.188,</w:t>
      </w:r>
      <w:r>
        <w:t xml:space="preserve"> </w:t>
      </w:r>
      <w:r>
        <w:t xml:space="preserve">Θthd = 0.089, from a 10% tolerance on the injury-weighted mean) condition B misses practical</w:t>
      </w:r>
      <w:r>
        <w:t xml:space="preserve"> </w:t>
      </w:r>
      <w:r>
        <w:t xml:space="preserve">equivalence on the upper end of its interval, and condition C misses on every reading.</w:t>
      </w:r>
    </w:p>
    <w:bookmarkEnd w:id="21"/>
    <w:bookmarkStart w:id="22" w:name="X9ed40665c239ee1dc1083e2d85299b0a4353366"/>
    <w:p>
      <w:pPr>
        <w:pStyle w:val="Heading3"/>
      </w:pPr>
      <w:r>
        <w:t xml:space="preserve">4.3b-ii The B-versus-C ordering, tested as a paired difference</w:t>
      </w:r>
    </w:p>
    <w:p>
      <w:pPr>
        <w:pStyle w:val="FirstParagraph"/>
      </w:pPr>
      <w:r>
        <w:t xml:space="preserve">With the corrected (wider) intervals, the marginal HDIs of the two conditions overlap</w:t>
      </w:r>
      <w:r>
        <w:t xml:space="preserve"> </w:t>
      </w:r>
      <w:r>
        <w:t xml:space="preserve">substantially at every bin count — at N = 5, B is 0.148 [0.085, 0.273] and C is 0.209</w:t>
      </w:r>
      <w:r>
        <w:t xml:space="preserve"> </w:t>
      </w:r>
      <w:r>
        <w:t xml:space="preserve">[0.148, 0.343]. Read naively that would suggest the conditions are not separated, and it</w:t>
      </w:r>
      <w:r>
        <w:t xml:space="preserve"> </w:t>
      </w:r>
      <w:r>
        <w:t xml:space="preserve">would understate the evidence badly.</w:t>
      </w:r>
    </w:p>
    <w:p>
      <w:pPr>
        <w:pStyle w:val="BodyText"/>
      </w:pPr>
      <w:r>
        <w:t xml:space="preserve">Overlapping marginal intervals do not imply an undetermined difference when the two</w:t>
      </w:r>
      <w:r>
        <w:t xml:space="preserve"> </w:t>
      </w:r>
      <w:r>
        <w:t xml:space="preserve">estimates share a source of uncertainty, and here they share almost all of it: both</w:t>
      </w:r>
      <w:r>
        <w:t xml:space="preserve"> </w:t>
      </w:r>
      <w:r>
        <w:t xml:space="preserve">conditions are scored against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reference, through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quantile bins,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weights. Resampling the reference moves θ_B and θ_C together. The quantity the</w:t>
      </w:r>
      <w:r>
        <w:t xml:space="preserve"> </w:t>
      </w:r>
      <w:r>
        <w:t xml:space="preserve">study’s claim actually concerns is their difference, so that is what should carry an</w:t>
      </w:r>
      <w:r>
        <w:t xml:space="preserve"> </w:t>
      </w:r>
      <w:r>
        <w:t xml:space="preserve">interval. Recomputing with one shared reference resample per bootstrap draw: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θ_C − θ_B, point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HDI of the difference (paired, 500 draws)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[0.037, 0.107]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P(θ_C &gt; θ_B)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</w:tbl>
    <w:p>
      <w:pPr>
        <w:pStyle w:val="BodyText"/>
      </w:pPr>
      <w:r>
        <w:t xml:space="preserve">The interval excludes zero comfortably and the sign is unanimous across every resample.</w:t>
      </w:r>
      <w:r>
        <w:t xml:space="preserve"> </w:t>
      </w:r>
      <w:r>
        <w:rPr>
          <w:b/>
          <w:bCs/>
        </w:rPr>
        <w:t xml:space="preserve">The ordering — the active-inference condition closer to the reference than the CBM control</w:t>
      </w:r>
      <w:r>
        <w:rPr>
          <w:b/>
          <w:bCs/>
        </w:rPr>
        <w:t xml:space="preserve"> </w:t>
      </w:r>
      <w:r>
        <w:rPr>
          <w:b/>
          <w:bCs/>
        </w:rPr>
        <w:t xml:space="preserve">on severity — is statistically robust</w:t>
      </w:r>
      <w:r>
        <w:t xml:space="preserve">, and is more strongly supported than the marginal</w:t>
      </w:r>
      <w:r>
        <w:t xml:space="preserve"> </w:t>
      </w:r>
      <w:r>
        <w:t xml:space="preserve">intervals suggest. This is the claim the study rests on, and the bootstrap correction of</w:t>
      </w:r>
      <w:r>
        <w:t xml:space="preserve"> </w:t>
      </w:r>
      <w:r>
        <w:t xml:space="preserve">section 4.3b does not disturb it.</w:t>
      </w:r>
    </w:p>
    <w:p>
      <w:pPr>
        <w:pStyle w:val="BodyText"/>
      </w:pPr>
      <w:r>
        <w:t xml:space="preserve">The same reasoning applies to any future comparison between conditions here, and the paired</w:t>
      </w:r>
      <w:r>
        <w:t xml:space="preserve"> </w:t>
      </w:r>
      <w:r>
        <w:t xml:space="preserve">form should be preferred over comparing marginal intervals.</w:t>
      </w:r>
    </w:p>
    <w:bookmarkEnd w:id="22"/>
    <w:bookmarkStart w:id="23" w:name="X37e6aa9944ed54930b75e7c8aad5b5de1be324a"/>
    <w:p>
      <w:pPr>
        <w:pStyle w:val="Heading3"/>
      </w:pPr>
      <w:r>
        <w:t xml:space="preserve">4.3c Weighted aggregates, reported directly (added 2026-08-26)</w:t>
      </w:r>
    </w:p>
    <w:p>
      <w:pPr>
        <w:pStyle w:val="FirstParagraph"/>
      </w:pPr>
      <w:r>
        <w:t xml:space="preserve">Because θ and Θ constrain only the allocation of mass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bins, the readout now also</w:t>
      </w:r>
      <w:r>
        <w:t xml:space="preserve"> </w:t>
      </w:r>
      <w:r>
        <w:t xml:space="preserve">reports the weighted aggregate of each metric. The</w:t>
      </w:r>
      <w:r>
        <w:t xml:space="preserve"> </w:t>
      </w:r>
      <w:r>
        <w:t xml:space="preserve">“binned”</w:t>
      </w:r>
      <w:r>
        <w:t xml:space="preserve"> </w:t>
      </w:r>
      <w:r>
        <w:t xml:space="preserve">column is the bin-constant</w:t>
      </w:r>
      <w:r>
        <w:t xml:space="preserve"> </w:t>
      </w:r>
      <w:r>
        <w:t xml:space="preserve">approximation, which is the only quantity Θ bounds; where it diverges from the actual</w:t>
      </w:r>
      <w:r>
        <w:t xml:space="preserve"> </w:t>
      </w:r>
      <w:r>
        <w:t xml:space="preserve">column, the difference is within-bin and invisible to both statistics.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 rel. err.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 rel. err.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P_inj</w:t>
            </w:r>
          </w:p>
        </w:tc>
        <w:tc>
          <w:tcPr/>
          <w:p>
            <w:pPr>
              <w:pStyle w:val="Compact"/>
            </w:pPr>
            <w:r>
              <w:t xml:space="preserve">0.00615</w:t>
            </w:r>
          </w:p>
        </w:tc>
        <w:tc>
          <w:tcPr/>
          <w:p>
            <w:pPr>
              <w:pStyle w:val="Compact"/>
            </w:pPr>
            <w:r>
              <w:t xml:space="preserve">0.00693</w:t>
            </w:r>
          </w:p>
        </w:tc>
        <w:tc>
          <w:tcPr/>
          <w:p>
            <w:pPr>
              <w:pStyle w:val="Compact"/>
            </w:pPr>
            <w:r>
              <w:t xml:space="preserve">+12.6%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speed at impact [m/s]</w:t>
            </w:r>
          </w:p>
        </w:tc>
        <w:tc>
          <w:tcPr/>
          <w:p>
            <w:pPr>
              <w:pStyle w:val="Compact"/>
            </w:pPr>
            <w:r>
              <w:t xml:space="preserve">4.788</w:t>
            </w:r>
          </w:p>
        </w:tc>
        <w:tc>
          <w:tcPr/>
          <w:p>
            <w:pPr>
              <w:pStyle w:val="Compact"/>
            </w:pPr>
            <w:r>
              <w:t xml:space="preserve">4.862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+1.6%</w:t>
            </w:r>
          </w:p>
        </w:tc>
        <w:tc>
          <w:tcPr/>
          <w:p>
            <w:pPr>
              <w:pStyle w:val="Compact"/>
            </w:pPr>
            <w:r>
              <w:t xml:space="preserve">4.775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t_nr [s]</w:t>
            </w:r>
          </w:p>
        </w:tc>
        <w:tc>
          <w:tcPr/>
          <w:p>
            <w:pPr>
              <w:pStyle w:val="Compact"/>
            </w:pPr>
            <w:r>
              <w:t xml:space="preserve">−0.1877</w:t>
            </w:r>
          </w:p>
        </w:tc>
        <w:tc>
          <w:tcPr/>
          <w:p>
            <w:pPr>
              <w:pStyle w:val="Compact"/>
            </w:pPr>
            <w:r>
              <w:t xml:space="preserve">−0.1986</w:t>
            </w:r>
          </w:p>
        </w:tc>
        <w:tc>
          <w:tcPr/>
          <w:p>
            <w:pPr>
              <w:pStyle w:val="Compact"/>
            </w:pPr>
            <w:r>
              <w:t xml:space="preserve">+5.8%</w:t>
            </w:r>
          </w:p>
        </w:tc>
        <w:tc>
          <w:tcPr/>
          <w:p>
            <w:pPr>
              <w:pStyle w:val="Compact"/>
            </w:pPr>
            <w:r>
              <w:t xml:space="preserve">−0.2094</w:t>
            </w:r>
          </w:p>
        </w:tc>
        <w:tc>
          <w:tcPr/>
          <w:p>
            <w:pPr>
              <w:pStyle w:val="Compact"/>
            </w:pPr>
            <w:r>
              <w:t xml:space="preserve">+11.6%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a_l,min [m/s²]</w:t>
            </w:r>
          </w:p>
        </w:tc>
        <w:tc>
          <w:tcPr/>
          <w:p>
            <w:pPr>
              <w:pStyle w:val="Compact"/>
            </w:pPr>
            <w:r>
              <w:t xml:space="preserve">−1.981</w:t>
            </w:r>
          </w:p>
        </w:tc>
        <w:tc>
          <w:tcPr/>
          <w:p>
            <w:pPr>
              <w:pStyle w:val="Compact"/>
            </w:pPr>
            <w:r>
              <w:t xml:space="preserve">−2.195</w:t>
            </w:r>
          </w:p>
        </w:tc>
        <w:tc>
          <w:tcPr/>
          <w:p>
            <w:pPr>
              <w:pStyle w:val="Compact"/>
            </w:pPr>
            <w:r>
              <w:t xml:space="preserve">+10.8%</w:t>
            </w:r>
          </w:p>
        </w:tc>
        <w:tc>
          <w:tcPr/>
          <w:p>
            <w:pPr>
              <w:pStyle w:val="Compact"/>
            </w:pPr>
            <w:r>
              <w:t xml:space="preserve">−2.104</w:t>
            </w:r>
          </w:p>
        </w:tc>
        <w:tc>
          <w:tcPr/>
          <w:p>
            <w:pPr>
              <w:pStyle w:val="Compact"/>
            </w:pPr>
            <w:r>
              <w:t xml:space="preserve">+6.2%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a_f,min [m/s²]</w:t>
            </w:r>
          </w:p>
        </w:tc>
        <w:tc>
          <w:tcPr/>
          <w:p>
            <w:pPr>
              <w:pStyle w:val="Compact"/>
            </w:pPr>
            <w:r>
              <w:t xml:space="preserve">−2.379</w:t>
            </w:r>
          </w:p>
        </w:tc>
        <w:tc>
          <w:tcPr/>
          <w:p>
            <w:pPr>
              <w:pStyle w:val="Compact"/>
            </w:pPr>
            <w:r>
              <w:t xml:space="preserve">−2.371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−0.3%</w:t>
            </w:r>
          </w:p>
        </w:tc>
        <w:tc>
          <w:tcPr/>
          <w:p>
            <w:pPr>
              <w:pStyle w:val="Compact"/>
            </w:pPr>
            <w:r>
              <w:t xml:space="preserve">−3.214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+35.1%</w:t>
            </w:r>
          </w:p>
        </w:tc>
      </w:tr>
    </w:tbl>
    <w:p>
      <w:pPr>
        <w:pStyle w:val="BodyText"/>
      </w:pPr>
      <w:r>
        <w:t xml:space="preserve">Three readings, two of them new.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braking metric separates the two response models far more sharply than θ does.</w:t>
      </w:r>
      <w:r>
        <w:t xml:space="preserve"> </w:t>
      </w:r>
      <w:r>
        <w:t xml:space="preserve">θ was 1.058 for B and 1.380 for C, both looking catastrophic and neither interpretable</w:t>
      </w:r>
      <w:r>
        <w:t xml:space="preserve"> </w:t>
      </w:r>
      <w:r>
        <w:t xml:space="preserve">(section 4.3b and</w:t>
      </w:r>
      <w:r>
        <w:t xml:space="preserve"> </w:t>
      </w:r>
      <w:r>
        <w:rPr>
          <w:rStyle w:val="VerbatimChar"/>
        </w:rPr>
        <w:t xml:space="preserve">docs/severity_vs_timing.md</w:t>
      </w:r>
      <w:r>
        <w:t xml:space="preserve"> </w:t>
      </w:r>
      <w:r>
        <w:t xml:space="preserve">explain why: a 48% atom at zero collapses</w:t>
      </w:r>
      <w:r>
        <w:t xml:space="preserve"> </w:t>
      </w:r>
      <w:r>
        <w:t xml:space="preserve">two of the five quantile edges). The weighted mean says something clean instead:</w:t>
      </w:r>
      <w:r>
        <w:t xml:space="preserve"> </w:t>
      </w:r>
      <w:r>
        <w:rPr>
          <w:b/>
          <w:bCs/>
        </w:rPr>
        <w:t xml:space="preserve">condition B reproduces the reference’s mean follower braking to within 0.3%,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CBM control over-brakes by 35%.</w:t>
      </w:r>
      <w:r>
        <w:t xml:space="preserve"> </w:t>
      </w:r>
      <w:r>
        <w:t xml:space="preserve">This is the strongest single statement of the finding</w:t>
      </w:r>
      <w:r>
        <w:t xml:space="preserve"> </w:t>
      </w:r>
      <w:r>
        <w:t xml:space="preserve">that only the active-inference conditions reproduce the reference’s dominant non-braking</w:t>
      </w:r>
      <w:r>
        <w:t xml:space="preserve"> </w:t>
      </w:r>
      <w:r>
        <w:t xml:space="preserve">crash character, and it was invisible in the θ column.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Severity is reproduced far better than the injury-risk figure suggests, and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about which condition is closer.</w:t>
      </w:r>
      <w:r>
        <w:t xml:space="preserve"> </w:t>
      </w:r>
      <w:r>
        <w:t xml:space="preserve">Mean relative speed at impact is within 1.6%</w:t>
      </w:r>
    </w:p>
    <w:p>
      <w:pPr>
        <w:pStyle w:val="Compact"/>
        <w:numPr>
          <w:ilvl w:val="0"/>
          <w:numId w:val="1000"/>
        </w:numPr>
      </w:pPr>
      <w:r>
        <w:t xml:space="preserve">(B) and 0.3% (C) of the reference, while mean injury risk is 10–13% high for both.</w:t>
      </w:r>
      <w:r>
        <w:t xml:space="preserve"> </w:t>
      </w:r>
      <w:r>
        <w:t xml:space="preserve">P_inj is a logistic transform of the same variable, so the discrepancy is entirely the</w:t>
      </w:r>
      <w:r>
        <w:t xml:space="preserve"> </w:t>
      </w:r>
      <w:r>
        <w:t xml:space="preserve">convexity: injury risk is a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statistic and relative speed a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statistic.</w:t>
      </w:r>
      <w:r>
        <w:t xml:space="preserve"> </w:t>
      </w:r>
      <w:r>
        <w:t xml:space="preserve">Condition C is the clearest case — its mean relative speed is 0.3%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reference</w:t>
      </w:r>
      <w:r>
        <w:t xml:space="preserve"> </w:t>
      </w:r>
      <w:r>
        <w:t xml:space="preserve">while its mean injury risk is 10.4%</w:t>
      </w:r>
      <w:r>
        <w:t xml:space="preserve"> </w:t>
      </w:r>
      <w:r>
        <w:rPr>
          <w:i/>
          <w:iCs/>
        </w:rPr>
        <w:t xml:space="preserve">above</w:t>
      </w:r>
      <w:r>
        <w:t xml:space="preserve">, which is only possible through a heavier</w:t>
      </w:r>
      <w:r>
        <w:t xml:space="preserve"> </w:t>
      </w:r>
      <w:r>
        <w:t xml:space="preserve">tail. This is a concrete argument for operationalizing severity on relative speed at</w:t>
      </w:r>
      <w:r>
        <w:t xml:space="preserve"> </w:t>
      </w:r>
      <w:r>
        <w:t xml:space="preserve">impact, the assumption-free primitive, rather than on a derived injury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θ and the aggregate answer different questions and need not agree.</w:t>
      </w:r>
      <w:r>
        <w:t xml:space="preserve"> </w:t>
      </w:r>
      <w:r>
        <w:t xml:space="preserve">On severity θ</w:t>
      </w:r>
      <w:r>
        <w:t xml:space="preserve"> </w:t>
      </w:r>
      <w:r>
        <w:t xml:space="preserve">ranks B closer (0.148 versus 0.209) while the mean ranks C marginally closer (+1.6%</w:t>
      </w:r>
      <w:r>
        <w:t xml:space="preserve"> </w:t>
      </w:r>
      <w:r>
        <w:t xml:space="preserve">versus −0.3%). There is no contradiction: θ measures distributional shape at its worst</w:t>
      </w:r>
      <w:r>
        <w:t xml:space="preserve"> </w:t>
      </w:r>
      <w:r>
        <w:t xml:space="preserve">bin, the mean measures location. Both should be reported.</w:t>
      </w:r>
    </w:p>
    <w:bookmarkEnd w:id="23"/>
    <w:bookmarkStart w:id="24" w:name="bin-count-sensitivity-added-2026-08-26"/>
    <w:p>
      <w:pPr>
        <w:pStyle w:val="Heading3"/>
      </w:pPr>
      <w:r>
        <w:t xml:space="preserve">4.4 Bin-count sensitivity (added 2026-08-26)</w:t>
      </w:r>
    </w:p>
    <w:p>
      <w:pPr>
        <w:pStyle w:val="FirstParagraph"/>
      </w:pPr>
      <w:r>
        <w:t xml:space="preserve">The tables above use N = 5 quantile bins. That is what [W26] Eq. 4 gives for a 100–200</w:t>
      </w:r>
      <w:r>
        <w:t xml:space="preserve"> </w:t>
      </w:r>
      <w:r>
        <w:t xml:space="preserve">scenario reference — the size this study had when the assessment code was written, and the</w:t>
      </w:r>
      <w:r>
        <w:t xml:space="preserve"> </w:t>
      </w:r>
      <w:r>
        <w:t xml:space="preserve">size of the paper’s own demonstration — but at the full population the same rule gives</w:t>
      </w:r>
      <w:r>
        <w:t xml:space="preserve"> </w:t>
      </w:r>
      <w:r>
        <w:t xml:space="preserve">N = min(⌊5000/40⌋, 20) =</w:t>
      </w:r>
      <w:r>
        <w:t xml:space="preserve"> </w:t>
      </w:r>
      <w:r>
        <w:rPr>
          <w:b/>
          <w:bCs/>
        </w:rPr>
        <w:t xml:space="preserve">20</w:t>
      </w:r>
      <w:r>
        <w:t xml:space="preserve">. Since θ is a worst-bin statistic it tightens with finer</w:t>
      </w:r>
      <w:r>
        <w:t xml:space="preserve"> </w:t>
      </w:r>
      <w:r>
        <w:t xml:space="preserve">bins, so the headline numbers sit on the lenient side of the paper’s prescription. Re-running</w:t>
      </w:r>
      <w:r>
        <w:t xml:space="preserve"> </w:t>
      </w:r>
      <w:r>
        <w:t xml:space="preserve">the readout from the stored condition outputs (</w:t>
      </w:r>
      <w:r>
        <w:rPr>
          <w:rStyle w:val="VerbatimChar"/>
        </w:rPr>
        <w:t xml:space="preserve">replication/causation/bin_sensitivity.py</w:t>
      </w:r>
      <w:r>
        <w:t xml:space="preserve">,</w:t>
      </w:r>
      <w:r>
        <w:t xml:space="preserve"> </w:t>
      </w:r>
      <w:r>
        <w:t xml:space="preserve">no re-simulation):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B, N=5</w:t>
            </w:r>
          </w:p>
        </w:tc>
        <w:tc>
          <w:tcPr/>
          <w:p>
            <w:pPr>
              <w:pStyle w:val="Compact"/>
            </w:pPr>
            <w:r>
              <w:t xml:space="preserve">B, N=10</w:t>
            </w:r>
          </w:p>
        </w:tc>
        <w:tc>
          <w:tcPr/>
          <w:p>
            <w:pPr>
              <w:pStyle w:val="Compact"/>
            </w:pPr>
            <w:r>
              <w:t xml:space="preserve">B, N=20</w:t>
            </w:r>
          </w:p>
        </w:tc>
        <w:tc>
          <w:tcPr/>
          <w:p>
            <w:pPr>
              <w:pStyle w:val="Compact"/>
            </w:pPr>
            <w:r>
              <w:t xml:space="preserve">C, N=5</w:t>
            </w:r>
          </w:p>
        </w:tc>
        <w:tc>
          <w:tcPr/>
          <w:p>
            <w:pPr>
              <w:pStyle w:val="Compact"/>
            </w:pPr>
            <w:r>
              <w:t xml:space="preserve">C, N=10</w:t>
            </w:r>
          </w:p>
        </w:tc>
        <w:tc>
          <w:tcPr/>
          <w:p>
            <w:pPr>
              <w:pStyle w:val="Compact"/>
            </w:pPr>
            <w:r>
              <w:t xml:space="preserve">C, N=20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 (P_inj = v_rel) 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 Θ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t xml:space="preserve">0.623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a_l,min θ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a_f,min θ</w:t>
            </w:r>
          </w:p>
        </w:tc>
        <w:tc>
          <w:tcPr/>
          <w:p>
            <w:pPr>
              <w:pStyle w:val="Compact"/>
            </w:pPr>
            <w:r>
              <w:t xml:space="preserve">1.058</w:t>
            </w:r>
          </w:p>
        </w:tc>
        <w:tc>
          <w:tcPr/>
          <w:p>
            <w:pPr>
              <w:pStyle w:val="Compact"/>
            </w:pPr>
            <w:r>
              <w:t xml:space="preserve">3.983</w:t>
            </w:r>
          </w:p>
        </w:tc>
        <w:tc>
          <w:tcPr/>
          <w:p>
            <w:pPr>
              <w:pStyle w:val="Compact"/>
            </w:pPr>
            <w:r>
              <w:t xml:space="preserve">3.983</w:t>
            </w:r>
          </w:p>
        </w:tc>
        <w:tc>
          <w:tcPr/>
          <w:p>
            <w:pPr>
              <w:pStyle w:val="Compact"/>
            </w:pPr>
            <w:r>
              <w:t xml:space="preserve">1.380</w:t>
            </w:r>
          </w:p>
        </w:tc>
        <w:tc>
          <w:tcPr/>
          <w:p>
            <w:pPr>
              <w:pStyle w:val="Compact"/>
            </w:pPr>
            <w:r>
              <w:t xml:space="preserve">2.165</w:t>
            </w:r>
          </w:p>
        </w:tc>
        <w:tc>
          <w:tcPr/>
          <w:p>
            <w:pPr>
              <w:pStyle w:val="Compact"/>
            </w:pPr>
            <w:r>
              <w:t xml:space="preserve">4.456</w:t>
            </w:r>
          </w:p>
        </w:tc>
      </w:tr>
    </w:tbl>
    <w:p>
      <w:pPr>
        <w:pStyle w:val="BodyText"/>
      </w:pPr>
      <w:r>
        <w:t xml:space="preserve">Three readings: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study’s headline survives the bin count.</w:t>
      </w:r>
      <w:r>
        <w:t xml:space="preserve"> </w:t>
      </w:r>
      <w:r>
        <w:t xml:space="preserve">The active-inference condition is closer</w:t>
      </w:r>
      <w:r>
        <w:t xml:space="preserve"> </w:t>
      </w:r>
      <w:r>
        <w:t xml:space="preserve">to the reference than the CBM control on severity at every N (0.148 vs 0.209, 0.241 vs</w:t>
      </w:r>
      <w:r>
        <w:t xml:space="preserve"> </w:t>
      </w:r>
      <w:r>
        <w:t xml:space="preserve">0.255, 0.275 vs 0.352), and on the braking distribution at every N. The ordering is what</w:t>
      </w:r>
      <w:r>
        <w:t xml:space="preserve"> </w:t>
      </w:r>
      <w:r>
        <w:t xml:space="preserve">this study rests on, and it is not an artifact of the coarse binning. The caveat is that</w:t>
      </w:r>
      <w:r>
        <w:t xml:space="preserve"> </w:t>
      </w:r>
      <w:r>
        <w:t xml:space="preserve">at N = 10 and N = 20 the HDIs of the two conditions overlap substantially, so the</w:t>
      </w:r>
      <w:r>
        <w:t xml:space="preserve"> </w:t>
      </w:r>
      <w:r>
        <w:t xml:space="preserve">ordering is consistent in point estimates without being statistically separated there.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distances grow with N</w:t>
      </w:r>
      <w:r>
        <w:t xml:space="preserve">, roughly doubling for severity between N = 5 and</w:t>
      </w:r>
      <w:r>
        <w:t xml:space="preserve"> </w:t>
      </w:r>
      <w:r>
        <w:t xml:space="preserve">N = 20. Any absolute claim must state its bin count.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 = 20 is prescribed but unusable at this reference size.</w:t>
      </w:r>
      <w:r>
        <w:t xml:space="preserve"> </w:t>
      </w:r>
      <w:r>
        <w:t xml:space="preserve">A model that is exactly</w:t>
      </w:r>
      <w:r>
        <w:t xml:space="preserve"> </w:t>
      </w:r>
      <w:r>
        <w:t xml:space="preserve">right has median θ = 0.129 with a 95% HDI upper bound of 0.266 at N = 20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docs/equivalence_rope_note.md</w:t>
      </w:r>
      <w:r>
        <w:t xml:space="preserve"> </w:t>
      </w:r>
      <w:r>
        <w:t xml:space="preserve">§2.1), so nothing can pass a ROPE of 0.10 there. The</w:t>
      </w:r>
      <w:r>
        <w:t xml:space="preserve"> </w:t>
      </w:r>
      <w:r>
        <w:t xml:space="preserve">bin rule and the ROPE threshold are jointly infeasible at n_ref = 5 000 under the</w:t>
      </w:r>
      <w:r>
        <w:t xml:space="preserve"> </w:t>
      </w:r>
      <w:r>
        <w:t xml:space="preserve">decision rule used here. Section 5 of that note proposes what to change.</w:t>
      </w:r>
    </w:p>
    <w:p>
      <w:pPr>
        <w:pStyle w:val="FirstParagraph"/>
      </w:pPr>
      <w:r>
        <w:t xml:space="preserve">Two incidental corrections to assumptions made when this readout was built. Θ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bin-count invariant — it is a lower bound on twice the total-variation distance that becomes</w:t>
      </w:r>
      <w:r>
        <w:t xml:space="preserve"> </w:t>
      </w:r>
      <w:r>
        <w:t xml:space="preserve">exact only as the partition refines, so it grows with N. Further, θ is a maximum over bins</w:t>
      </w:r>
      <w:r>
        <w:t xml:space="preserve"> </w:t>
      </w:r>
      <w:r>
        <w:t xml:space="preserve">and is therefore</w:t>
      </w:r>
      <w:r>
        <w:t xml:space="preserve"> </w:t>
      </w:r>
      <w:r>
        <w:rPr>
          <w:b/>
          <w:bCs/>
        </w:rPr>
        <w:t xml:space="preserve">biased upward under resampling</w:t>
      </w:r>
      <w:r>
        <w:t xml:space="preserve">; at N = 20 condition B’s bootstrap HDI</w:t>
      </w:r>
      <w:r>
        <w:t xml:space="preserve"> </w:t>
      </w:r>
      <w:r>
        <w:t xml:space="preserve">[0.275, 0.552] does not contain its own point estimate. Both make the</w:t>
      </w:r>
      <w:r>
        <w:t xml:space="preserve"> </w:t>
      </w:r>
      <w:r>
        <w:t xml:space="preserve">“HDI upper bound</w:t>
      </w:r>
      <w:r>
        <w:t xml:space="preserve"> </w:t>
      </w:r>
      <w:r>
        <w:t xml:space="preserve">inside the ROPE”</w:t>
      </w:r>
      <w:r>
        <w:t xml:space="preserve"> </w:t>
      </w:r>
      <w:r>
        <w:t xml:space="preserve">rule more conservative at fine bin counts than it looks.</w:t>
      </w:r>
    </w:p>
    <w:bookmarkEnd w:id="24"/>
    <w:bookmarkStart w:id="25" w:name="X92f7094027f1ad7e97b779924447ba6ed2a0fa2"/>
    <w:p>
      <w:pPr>
        <w:pStyle w:val="Heading3"/>
      </w:pPr>
      <w:r>
        <w:t xml:space="preserve">The sensitivity ladder (100-seed sample, kept as method history)</w:t>
      </w:r>
    </w:p>
    <w:p>
      <w:pPr>
        <w:pStyle w:val="FirstParagraph"/>
      </w:pPr>
      <w:r>
        <w:t xml:space="preserve">No configuration reaches practical equivalence (ROPE 0.10 for θ; full tables in</w:t>
      </w:r>
      <w:r>
        <w:t xml:space="preserve"> </w:t>
      </w:r>
      <w:r>
        <w:rPr>
          <w:rStyle w:val="VerbatimChar"/>
        </w:rPr>
        <w:t xml:space="preserve">replication/causation/out/summary_nb*.md</w:t>
      </w:r>
      <w:r>
        <w:t xml:space="preserve">), but the distance now has a visible</w:t>
      </w:r>
      <w:r>
        <w:t xml:space="preserve"> </w:t>
      </w:r>
      <w:r>
        <w:t xml:space="preserve">structure. Headline θ for P_inj (= relative impact speed; the two give identical bins),</w:t>
      </w:r>
      <w:r>
        <w:t xml:space="preserve"> </w:t>
      </w:r>
      <w:r>
        <w:t xml:space="preserve">Eq. 10 weights, 95% bootstrap HDIs: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embedded-evasive counterfactual (superseded)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no-brake counterfactual, anchored glances</w:t>
            </w:r>
          </w:p>
        </w:tc>
        <w:tc>
          <w:tcPr/>
          <w:p>
            <w:pPr>
              <w:pStyle w:val="Compact"/>
            </w:pPr>
            <w:r>
              <w:t xml:space="preserve">0.87 [0.82, 0.99]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process glances (primary)</w:t>
            </w:r>
          </w:p>
        </w:tc>
        <w:tc>
          <w:tcPr/>
          <w:p>
            <w:pPr>
              <w:pStyle w:val="Compact"/>
            </w:pPr>
            <w:r>
              <w:t xml:space="preserve">0.61 [0.55, 0.76]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[0.41, 0.60]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process, stationary accumulator</w:t>
            </w:r>
          </w:p>
        </w:tc>
        <w:tc>
          <w:tcPr/>
          <w:p>
            <w:pPr>
              <w:pStyle w:val="Compact"/>
            </w:pPr>
            <w:r>
              <w:t xml:space="preserve">0.42 [0.29, 0.52]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no-brake, anchored (CBM-native)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[0.36, 0.46]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process glances</w:t>
            </w:r>
          </w:p>
        </w:tc>
        <w:tc>
          <w:tcPr/>
          <w:p>
            <w:pPr>
              <w:pStyle w:val="Compact"/>
            </w:pPr>
            <w:r>
              <w:t xml:space="preserve">0.63 [0.44, 0.74]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abnormal acceleration</w:t>
            </w:r>
          </w:p>
        </w:tc>
        <w:tc>
          <w:tcPr/>
          <w:p>
            <w:pPr>
              <w:pStyle w:val="Compact"/>
            </w:pPr>
            <w:r>
              <w:t xml:space="preserve">0.59 [0.42, 0.71]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</w:tbl>
    <w:p>
      <w:pPr>
        <w:pStyle w:val="BodyText"/>
      </w:pPr>
      <w:r>
        <w:t xml:space="preserve">Readings: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methodological correction moved condition B toward the reference</w:t>
      </w:r>
      <w:r>
        <w:t xml:space="preserve">: removing the</w:t>
      </w:r>
      <w:r>
        <w:t xml:space="preserve"> </w:t>
      </w:r>
      <w:r>
        <w:t xml:space="preserve">embedded evasive action (1.44 → 0.87), placing glances as a process (→ 0.61), adding</w:t>
      </w:r>
      <w:r>
        <w:t xml:space="preserve"> </w:t>
      </w:r>
      <w:r>
        <w:t xml:space="preserve">the abnormal-acceleration component (→ 0.46). The remaining distance is dominated by</w:t>
      </w:r>
      <w:r>
        <w:t xml:space="preserve"> </w:t>
      </w:r>
      <w:r>
        <w:t xml:space="preserve">the over-produced mildest-severity bin.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best active-inference configurations now sit at the CBM control’s level</w:t>
      </w:r>
      <w:r>
        <w:t xml:space="preserve"> </w:t>
      </w:r>
      <w:r>
        <w:t xml:space="preserve">(θ ≈ 0.4–0.5 for both) — the response-model gap visible in the first analysis was</w:t>
      </w:r>
      <w:r>
        <w:t xml:space="preserve"> </w:t>
      </w:r>
      <w:r>
        <w:t xml:space="preserve">largely an artifact of the embedded evasive action and the anchor-locked glances.</w:t>
      </w:r>
      <w:r>
        <w:t xml:space="preserve"> </w:t>
      </w:r>
      <w:r>
        <w:t xml:space="preserve">What still separates the two models is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they miss: B misses on mild crashes,</w:t>
      </w:r>
      <w:r>
        <w:t xml:space="preserve"> </w:t>
      </w:r>
      <w:r>
        <w:t xml:space="preserve">C on moderate ones and on the braking distribution (a_f,min θ 1.4–1.8 versus B’s</w:t>
      </w:r>
      <w:r>
        <w:t xml:space="preserve"> </w:t>
      </w:r>
      <w:r>
        <w:t xml:space="preserve">1.0–1.4).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abnormal-acceleration component works as intended</w:t>
      </w:r>
      <w:r>
        <w:t xml:space="preserve">: it restores the reference’s</w:t>
      </w:r>
      <w:r>
        <w:t xml:space="preserve"> </w:t>
      </w:r>
      <w:r>
        <w:t xml:space="preserve">mean injury risk exactly for B (0.0063 vs 0.0062) by adding the harder, non-braking</w:t>
      </w:r>
      <w:r>
        <w:t xml:space="preserve"> </w:t>
      </w:r>
      <w:r>
        <w:t xml:space="preserve">crashes the four [B24] mechanisms cannot produce. Its cost is a slight overshoot for C.</w:t>
      </w:r>
    </w:p>
    <w:bookmarkEnd w:id="25"/>
    <w:bookmarkStart w:id="26" w:name="the-counterfactual-rule-barely-matters"/>
    <w:p>
      <w:pPr>
        <w:pStyle w:val="Heading3"/>
      </w:pPr>
      <w:r>
        <w:t xml:space="preserve">4.4 The counterfactual rule barely matters</w:t>
      </w:r>
    </w:p>
    <w:p>
      <w:pPr>
        <w:pStyle w:val="FirstParagraph"/>
      </w:pPr>
      <w:r>
        <w:t xml:space="preserve">Clamping the follower’s braking from t = 0 instead of from the lead’s onset changes B’s</w:t>
      </w:r>
      <w:r>
        <w:t xml:space="preserve"> </w:t>
      </w:r>
      <w:r>
        <w:t xml:space="preserve">P_inj θ from 0.87 to 0.82 and C’s from 0.400 to 0.396 (anchored glances) — the choice of</w:t>
      </w:r>
      <w:r>
        <w:t xml:space="preserve"> </w:t>
      </w:r>
      <w:r>
        <w:t xml:space="preserve">clamp rule is not a consequential degree of freedom.</w:t>
      </w:r>
    </w:p>
    <w:bookmarkEnd w:id="26"/>
    <w:bookmarkStart w:id="27" w:name="X4c1f58aa0629de7aca063025ceef95dd2894c57"/>
    <w:p>
      <w:pPr>
        <w:pStyle w:val="Heading3"/>
      </w:pPr>
      <w:r>
        <w:t xml:space="preserve">4.5 What the process placement buys, against its cost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active-inference</w:t>
      </w:r>
      <w:r>
        <w:t xml:space="preserve"> </w:t>
      </w:r>
      <w:r>
        <w:t xml:space="preserve">response, process glances improve severity equivalence</w:t>
      </w:r>
      <w:r>
        <w:t xml:space="preserve"> </w:t>
      </w:r>
      <w:r>
        <w:t xml:space="preserve">substantially (P_inj θ 0.87 → 0.61) besides being theoretically required (the anchored</w:t>
      </w:r>
      <w:r>
        <w:t xml:space="preserve"> </w:t>
      </w:r>
      <w:r>
        <w:t xml:space="preserve">construction assumes the response cannot depend on pre-anchor glance history, which is</w:t>
      </w:r>
      <w:r>
        <w:t xml:space="preserve"> </w:t>
      </w:r>
      <w:r>
        <w:t xml:space="preserve">false for an accumulator). For the</w:t>
      </w:r>
      <w:r>
        <w:t xml:space="preserve"> </w:t>
      </w:r>
      <w:r>
        <w:rPr>
          <w:b/>
          <w:bCs/>
        </w:rPr>
        <w:t xml:space="preserve">CBM</w:t>
      </w:r>
      <w:r>
        <w:t xml:space="preserve">, the anchored construction — which is exactly</w:t>
      </w:r>
      <w:r>
        <w:t xml:space="preserve"> </w:t>
      </w:r>
      <w:r>
        <w:t xml:space="preserve">Markkula’s shortcut for a fixed-delay responder — performs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the process</w:t>
      </w:r>
      <w:r>
        <w:t xml:space="preserve"> </w:t>
      </w:r>
      <w:r>
        <w:t xml:space="preserve">variant (0.40 vs 0.63), partly because the process run’s smaller crash-record count</w:t>
      </w:r>
      <w:r>
        <w:t xml:space="preserve"> </w:t>
      </w:r>
      <w:r>
        <w:t xml:space="preserve">(2 076 vs 11 587) widens its uncertainty. Cost: 50 draws per seed versus ~12 bins,</w:t>
      </w:r>
      <w:r>
        <w:t xml:space="preserve"> </w:t>
      </w:r>
      <w:r>
        <w:t xml:space="preserve">minutes either way at tier 1. Conclusion: process placement for active inference,</w:t>
      </w:r>
      <w:r>
        <w:t xml:space="preserve"> </w:t>
      </w:r>
      <w:r>
        <w:t xml:space="preserve">anchored placement for the CBM, each on its own merits; the 50-draw budget is marked for</w:t>
      </w:r>
      <w:r>
        <w:t xml:space="preserve"> </w:t>
      </w:r>
      <w:r>
        <w:t xml:space="preserve">a later increase, which mainly tightens the process runs’ HDIs.</w:t>
      </w:r>
    </w:p>
    <w:bookmarkEnd w:id="27"/>
    <w:bookmarkEnd w:id="28"/>
    <w:bookmarkStart w:id="32" w:name="response-timing"/>
    <w:p>
      <w:pPr>
        <w:pStyle w:val="Heading2"/>
      </w:pPr>
      <w:r>
        <w:t xml:space="preserve">5 Response timing</w:t>
      </w:r>
    </w:p>
    <w:p>
      <w:pPr>
        <w:pStyle w:val="CaptionedFigure"/>
      </w:pPr>
      <w:r>
        <w:drawing>
          <wp:inline>
            <wp:extent cx="4222781" cy="2389386"/>
            <wp:effectExtent b="0" l="0" r="0" t="0"/>
            <wp:docPr descr="Attentive brake onsets relative to the anchor" title="" id="30" name="Picture"/>
            <a:graphic>
              <a:graphicData uri="http://schemas.openxmlformats.org/drawingml/2006/picture">
                <pic:pic>
                  <pic:nvPicPr>
                    <pic:cNvPr descr="causation_figures/fig_tim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Attentive brake onsets relative to the anchor</w:t>
      </w:r>
    </w:p>
    <w:p>
      <w:pPr>
        <w:pStyle w:val="BodyText"/>
      </w:pPr>
      <w:r>
        <w:t xml:space="preserve">Attentive onsets: active inference median 1.25 s after the anchor (IQR 0.50–1.75 s),</w:t>
      </w:r>
      <w:r>
        <w:t xml:space="preserve"> </w:t>
      </w:r>
      <w:r>
        <w:t xml:space="preserve">CBM fixed at 0.50 s. Ten of 100 seeds respond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anchor — all within 0.45 s of</w:t>
      </w:r>
      <w:r>
        <w:t xml:space="preserve"> </w:t>
      </w:r>
      <w:r>
        <w:t xml:space="preserve">it, all after the lead’s braking onset, concentrated at short initial headways — so the</w:t>
      </w:r>
      <w:r>
        <w:t xml:space="preserve"> </w:t>
      </w:r>
      <w:r>
        <w:t xml:space="preserve">active-inference model treats the anchor as nothing special, responding to sub-threshold</w:t>
      </w:r>
      <w:r>
        <w:t xml:space="preserve"> </w:t>
      </w:r>
      <w:r>
        <w:t xml:space="preserve">looming when the gap is short.</w:t>
      </w:r>
    </w:p>
    <w:p>
      <w:pPr>
        <w:pStyle w:val="BodyText"/>
      </w:pPr>
      <w:r>
        <w:rPr>
          <w:b/>
          <w:bCs/>
        </w:rPr>
        <w:t xml:space="preserve">The arbiter verdict (2026-08-25).</w:t>
      </w:r>
      <w:r>
        <w:t xml:space="preserve"> </w:t>
      </w:r>
      <w:r>
        <w:t xml:space="preserve">The response-timing claim was initially bracketed</w:t>
      </w:r>
      <w:r>
        <w:t xml:space="preserve"> </w:t>
      </w:r>
      <w:r>
        <w:t xml:space="preserve">by the accumulator’s starting convention: zero start (the paper’s) versus a</w:t>
      </w:r>
      <w:r>
        <w:t xml:space="preserve"> </w:t>
      </w:r>
      <w:r>
        <w:t xml:space="preserve">“stationary”</w:t>
      </w:r>
      <w:r>
        <w:t xml:space="preserve"> </w:t>
      </w:r>
      <w:r>
        <w:t xml:space="preserve">half-threshold start representing a driver arriving mid-cycle from long steady following;</w:t>
      </w:r>
      <w:r>
        <w:t xml:space="preserve"> </w:t>
      </w:r>
      <w:r>
        <w:t xml:space="preserve">crash probability 0.023 versus 0.004. The tier-2 arbiter run — the full closed-loop model</w:t>
      </w:r>
      <w:r>
        <w:t xml:space="preserve"> </w:t>
      </w:r>
      <w:r>
        <w:t xml:space="preserve">on 23 seeds spanning 1.3–35.5 m/s, four repeats each, lead profiles replayed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replication/causation/tier2/arbiter_comparison.csv</w:t>
      </w:r>
      <w:r>
        <w:t xml:space="preserve">) — settles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 (attentive onsets, n = 24 seeds)</w:t>
            </w:r>
          </w:p>
        </w:tc>
        <w:tc>
          <w:tcPr/>
          <w:p>
            <w:pPr>
              <w:pStyle w:val="Compact"/>
            </w:pPr>
            <w:r>
              <w:t xml:space="preserve">median difference</w:t>
            </w:r>
          </w:p>
        </w:tc>
        <w:tc>
          <w:tcPr/>
          <w:p>
            <w:pPr>
              <w:pStyle w:val="Compact"/>
            </w:pPr>
            <w:r>
              <w:t xml:space="preserve">median |difference|</w:t>
            </w:r>
          </w:p>
        </w:tc>
        <w:tc>
          <w:tcPr/>
          <w:p>
            <w:pPr>
              <w:pStyle w:val="Compact"/>
            </w:pPr>
            <w:r>
              <w:t xml:space="preserve">closer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zero start</w:t>
            </w:r>
          </w:p>
        </w:tc>
        <w:tc>
          <w:tcPr/>
          <w:p>
            <w:pPr>
              <w:pStyle w:val="Compact"/>
            </w:pPr>
            <w:r>
              <w:t xml:space="preserve">+0.42 s</w:t>
            </w:r>
          </w:p>
        </w:tc>
        <w:tc>
          <w:tcPr/>
          <w:p>
            <w:pPr>
              <w:pStyle w:val="Compact"/>
            </w:pPr>
            <w:r>
              <w:t xml:space="preserve">0.55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20/24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stationary start</w:t>
            </w:r>
          </w:p>
        </w:tc>
        <w:tc>
          <w:tcPr/>
          <w:p>
            <w:pPr>
              <w:pStyle w:val="Compact"/>
            </w:pPr>
            <w:r>
              <w:t xml:space="preserve">+1.03 s</w:t>
            </w:r>
          </w:p>
        </w:tc>
        <w:tc>
          <w:tcPr/>
          <w:p>
            <w:pPr>
              <w:pStyle w:val="Compact"/>
            </w:pPr>
            <w:r>
              <w:t xml:space="preserve">1.08 s</w:t>
            </w:r>
          </w:p>
        </w:tc>
        <w:tc>
          <w:tcPr/>
          <w:p>
            <w:pPr>
              <w:pStyle w:val="Compact"/>
            </w:pPr>
            <w:r>
              <w:t xml:space="preserve">4/24 seeds</w:t>
            </w:r>
          </w:p>
        </w:tc>
      </w:tr>
    </w:tbl>
    <w:p>
      <w:pPr>
        <w:pStyle w:val="BodyText"/>
      </w:pPr>
      <w:r>
        <w:t xml:space="preserve">The closed loop behaves like the zero start — if anything it responds slightly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than the zero-start surrogate, so the stationary correction points the wrong way. The</w:t>
      </w:r>
      <w:r>
        <w:t xml:space="preserve"> </w:t>
      </w:r>
      <w:r>
        <w:t xml:space="preserve">scope of the verdict should be stated precisely: it validates the zero start</w:t>
      </w:r>
      <w:r>
        <w:t xml:space="preserve"> </w:t>
      </w:r>
      <w:r>
        <w:rPr>
          <w:i/>
          <w:iCs/>
        </w:rPr>
        <w:t xml:space="preserve">for this</w:t>
      </w:r>
      <w:r>
        <w:rPr>
          <w:i/>
          <w:iCs/>
        </w:rPr>
        <w:t xml:space="preserve"> </w:t>
      </w:r>
      <w:r>
        <w:rPr>
          <w:i/>
          <w:iCs/>
        </w:rPr>
        <w:t xml:space="preserve">study’s design</w:t>
      </w:r>
      <w:r>
        <w:t xml:space="preserve">, in which simulation windows open a few seconds before the conflict at</w:t>
      </w:r>
      <w:r>
        <w:t xml:space="preserve"> </w:t>
      </w:r>
      <w:r>
        <w:t xml:space="preserve">mostly comfortable headways, so the closed loop’s benign drift accumulates little before</w:t>
      </w:r>
      <w:r>
        <w:t xml:space="preserve"> </w:t>
      </w:r>
      <w:r>
        <w:t xml:space="preserve">the event. What a driver carries after minutes of continuous short-gap following is a</w:t>
      </w:r>
      <w:r>
        <w:t xml:space="preserve"> </w:t>
      </w:r>
      <w:r>
        <w:t xml:space="preserve">question neither tier answers, because both open their windows near the conflict; within</w:t>
      </w:r>
      <w:r>
        <w:t xml:space="preserve"> </w:t>
      </w:r>
      <w:r>
        <w:t xml:space="preserve">this design it is a non-issue by construction. Consequently the zero-start results are</w:t>
      </w:r>
      <w:r>
        <w:t xml:space="preserve"> </w:t>
      </w:r>
      <w:r>
        <w:t xml:space="preserve">the study’s results, and the conclusion stands:</w:t>
      </w:r>
      <w:r>
        <w:t xml:space="preserve"> </w:t>
      </w:r>
      <w:r>
        <w:rPr>
          <w:b/>
          <w:bCs/>
        </w:rPr>
        <w:t xml:space="preserve">the active-inference response is slower</w:t>
      </w:r>
      <w:r>
        <w:rPr>
          <w:b/>
          <w:bCs/>
        </w:rPr>
        <w:t xml:space="preserve"> </w:t>
      </w:r>
      <w:r>
        <w:rPr>
          <w:b/>
          <w:bCs/>
        </w:rPr>
        <w:t xml:space="preserve">and more variable than the CBM’s fixed rule</w:t>
      </w:r>
      <w:r>
        <w:t xml:space="preserve"> </w:t>
      </w:r>
      <w:r>
        <w:t xml:space="preserve">— confirmed, not contradicted, by the</w:t>
      </w:r>
      <w:r>
        <w:t xml:space="preserve"> </w:t>
      </w:r>
      <w:r>
        <w:t xml:space="preserve">closed loop.</w:t>
      </w:r>
    </w:p>
    <w:p>
      <w:pPr>
        <w:pStyle w:val="BodyText"/>
      </w:pPr>
      <w:r>
        <w:t xml:space="preserve">A deliberate non-action: the +0.30 s median offset between the closed loop and the</w:t>
      </w:r>
      <w:r>
        <w:t xml:space="preserve"> </w:t>
      </w:r>
      <w:r>
        <w:t xml:space="preserve">surrogate could be folded into the surrogate as a calibration correction. We do not do</w:t>
      </w:r>
      <w:r>
        <w:t xml:space="preserve"> </w:t>
      </w:r>
      <w:r>
        <w:t xml:space="preserve">this. Twenty-three seeds are a thin base to fit on, the offset is well inside the</w:t>
      </w:r>
      <w:r>
        <w:t xml:space="preserve"> </w:t>
      </w:r>
      <w:r>
        <w:t xml:space="preserve">response-time dispersion the study is about, and an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surrogate landing within</w:t>
      </w:r>
      <w:r>
        <w:t xml:space="preserve"> </w:t>
      </w:r>
      <w:r>
        <w:t xml:space="preserve">0.55 s median absolute difference is a stronger validation statement than a tuned one</w:t>
      </w:r>
      <w:r>
        <w:t xml:space="preserve"> </w:t>
      </w:r>
      <w:r>
        <w:t xml:space="preserve">landing on zero [Opinion].</w:t>
      </w:r>
    </w:p>
    <w:bookmarkEnd w:id="32"/>
    <w:bookmarkStart w:id="33" w:name="Xe0815f8e51273c4fe241c83f0838e01502f2476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authors’ full closed-loop model on QUADRIS</w:t>
      </w:r>
      <w:r>
        <w:t xml:space="preserve"> </w:t>
      </w:r>
      <w:r>
        <w:t xml:space="preserve">seeds with the lead replaced by a replay of the seed’s speed profile, and can force</w:t>
      </w:r>
      <w:r>
        <w:t xml:space="preserve"> </w:t>
      </w:r>
      <w:r>
        <w:t xml:space="preserve">off-road glances through the code’s own observation gate (</w:t>
      </w:r>
      <w:r>
        <w:rPr>
          <w:rStyle w:val="VerbatimChar"/>
        </w:rPr>
        <w:t xml:space="preserve">I_factor</w:t>
      </w:r>
      <w:r>
        <w:t xml:space="preserve">, the mechanism of</w:t>
      </w:r>
      <w:r>
        <w:t xml:space="preserve"> </w:t>
      </w:r>
      <w:r>
        <w:t xml:space="preserve">the Engström et al. 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both under the</w:t>
      </w:r>
      <w:r>
        <w:t xml:space="preserve"> </w:t>
      </w:r>
      <w:r>
        <w:t xml:space="preserve">shipped observation-noise factor (3) and under an effectively total gate (factor 1000).</w:t>
      </w:r>
      <w:r>
        <w:t xml:space="preserve"> </w:t>
      </w:r>
      <w:r>
        <w:t xml:space="preserve">The reason is architectural: the lead’s braking had been registered before the glance</w:t>
      </w:r>
      <w:r>
        <w:t xml:space="preserve"> </w:t>
      </w:r>
      <w:r>
        <w:t xml:space="preserve">began, and during the glance the belief cloud coasts forward on its own norm-shaped</w:t>
      </w:r>
      <w:r>
        <w:t xml:space="preserve"> </w:t>
      </w:r>
      <w:r>
        <w:t xml:space="preserve">prediction, so the evidence accumulator keeps filling from</w:t>
      </w:r>
      <w:r>
        <w:t xml:space="preserve"> </w:t>
      </w:r>
      <w:r>
        <w:rPr>
          <w:i/>
          <w:iCs/>
        </w:rPr>
        <w:t xml:space="preserve">remembered and 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7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7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conflict onset and does not isolate</w:t>
      </w:r>
      <w:r>
        <w:t xml:space="preserve"> </w:t>
      </w:r>
      <w:r>
        <w:t xml:space="preserve">the late-glance case [Opinion]. The tier-1 pipeline mirrors the distinction explicitly:</w:t>
      </w:r>
      <w:r>
        <w:t xml:space="preserve"> </w:t>
      </w:r>
      <w:r>
        <w:t xml:space="preserve">its evidence gate at weight 0 reproduces the CBM assumption, the Svärd et al. 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bookmarkEnd w:id="33"/>
    <w:bookmarkStart w:id="34" w:name="Xe418ac941e4a69f733341d9b77e2ba5a5444489"/>
    <w:p>
      <w:pPr>
        <w:pStyle w:val="Heading2"/>
      </w:pPr>
      <w:r>
        <w:t xml:space="preserve">7 The pre-selection (exposure) critique, quantified</w:t>
      </w:r>
    </w:p>
    <w:p>
      <w:pPr>
        <w:pStyle w:val="FirstParagraph"/>
      </w:pPr>
      <w:r>
        <w:t xml:space="preserve">Applying causation mechanisms to crash-conditioned seeds answers</w:t>
      </w:r>
      <w:r>
        <w:t xml:space="preserve"> </w:t>
      </w:r>
      <w:r>
        <w:t xml:space="preserve">“what does this driver</w:t>
      </w:r>
      <w:r>
        <w:t xml:space="preserve"> </w:t>
      </w:r>
      <w:r>
        <w:t xml:space="preserve">do in situations that crashed for the generator’s driver”</w:t>
      </w:r>
      <w:r>
        <w:t xml:space="preserve">, not</w:t>
      </w:r>
      <w:r>
        <w:t xml:space="preserve"> </w:t>
      </w:r>
      <w:r>
        <w:t xml:space="preserve">“what crashes does this</w:t>
      </w:r>
      <w:r>
        <w:t xml:space="preserve"> </w:t>
      </w:r>
      <w:r>
        <w:t xml:space="preserve">driver produce in traffic”</w:t>
      </w:r>
      <w:r>
        <w:t xml:space="preserve">. Three numbers from this study’s own runs bound how far the</w:t>
      </w:r>
      <w:r>
        <w:t xml:space="preserve"> </w:t>
      </w:r>
      <w:r>
        <w:t xml:space="preserve">two questions are 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Support loss</w:t>
      </w:r>
      <w:r>
        <w:t xml:space="preserve">: at full population, 295 of 5 000 seeds never crash under the CBM</w:t>
      </w:r>
      <w:r>
        <w:t xml:space="preserve"> </w:t>
      </w:r>
      <w:r>
        <w:t xml:space="preserve">control at any glance or deceleration draw; they drop out of any exposure reweighting</w:t>
      </w:r>
      <w:r>
        <w:t xml:space="preserve"> </w:t>
      </w:r>
      <w:r>
        <w:t xml:space="preserve">entirely (13 of 100 in the sample).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Effective sample size</w:t>
      </w:r>
      <w:r>
        <w:t xml:space="preserve">: exposure reweighting (dividing each weight by its crash</w:t>
      </w:r>
      <w:r>
        <w:t xml:space="preserve"> </w:t>
      </w:r>
      <w:r>
        <w:t xml:space="preserve">probability) leaves an effective sample size of</w:t>
      </w:r>
      <w:r>
        <w:t xml:space="preserve"> </w:t>
      </w:r>
      <w:r>
        <w:rPr>
          <w:b/>
          <w:bCs/>
        </w:rPr>
        <w:t xml:space="preserve">44.7 out of 5 000</w:t>
      </w:r>
      <w:r>
        <w:t xml:space="preserve"> </w:t>
      </w:r>
      <w:r>
        <w:t xml:space="preserve">(6.9 out of 100</w:t>
      </w:r>
      <w:r>
        <w:t xml:space="preserve"> </w:t>
      </w:r>
      <w:r>
        <w:t xml:space="preserve">in the sample). Fifty times more seeds bought a factor of six in effective size —</w:t>
      </w:r>
      <w:r>
        <w:t xml:space="preserve"> </w:t>
      </w:r>
      <w:r>
        <w:t xml:space="preserve">the reweighting’s variance grows with exactly the benign scenarios the crash filter</w:t>
      </w:r>
      <w:r>
        <w:t xml:space="preserve"> </w:t>
      </w:r>
      <w:r>
        <w:t xml:space="preserve">removed, so exposure-level claims stay out of reach of crash-only seeds at any</w:t>
      </w:r>
      <w:r>
        <w:t xml:space="preserve"> </w:t>
      </w:r>
      <w:r>
        <w:t xml:space="preserve">practical 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Directional bias</w:t>
      </w:r>
      <w:r>
        <w:t xml:space="preserve">: the missing scenarios are the long-headway, mild-conflict ones</w:t>
      </w:r>
      <w:r>
        <w:t xml:space="preserve"> </w:t>
      </w:r>
      <w:r>
        <w:t xml:space="preserve">in which crashes occur only through glances or non-response — for a glance-causation</w:t>
      </w:r>
      <w:r>
        <w:t xml:space="preserve"> </w:t>
      </w:r>
      <w:r>
        <w:t xml:space="preserve">study, the worst possible region to lose.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B-versus-C contrast is far more robust to this critique than any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, because both response models face the identical conditioned ensemble. Absolute</w:t>
      </w:r>
      <w:r>
        <w:t xml:space="preserve"> </w:t>
      </w:r>
      <w:r>
        <w:t xml:space="preserve">crash rates and severity distributions inherit the full bias. The proper fix is</w:t>
      </w:r>
      <w:r>
        <w:t xml:space="preserve"> </w:t>
      </w:r>
      <w:r>
        <w:t xml:space="preserve">upstream: the pre-filter scenario set (or the fitted scenario-generation models) of</w:t>
      </w:r>
      <w:r>
        <w:t xml:space="preserve"> </w:t>
      </w:r>
      <w:r>
        <w:t xml:space="preserve">[W25a], requested from its author; the 82 real SHRP2 near-crashes in the QUADRIS release</w:t>
      </w:r>
      <w:r>
        <w:t xml:space="preserve"> </w:t>
      </w:r>
      <w:r>
        <w:t xml:space="preserve">are an intermediate exposure extension available now.</w:t>
      </w:r>
    </w:p>
    <w:bookmarkEnd w:id="34"/>
    <w:bookmarkStart w:id="35" w:name="conclusions"/>
    <w:p>
      <w:pPr>
        <w:pStyle w:val="Heading2"/>
      </w:pPr>
      <w:r>
        <w:t xml:space="preserve">8 Conclusions</w:t>
      </w:r>
    </w:p>
    <w:p>
      <w:pPr>
        <w:pStyle w:val="Compact"/>
        <w:numPr>
          <w:ilvl w:val="0"/>
          <w:numId w:val="1009"/>
        </w:numPr>
      </w:pPr>
      <w:r>
        <w:t xml:space="preserve">The pipeline now runs the complete design: five switchable causation components, two</w:t>
      </w:r>
      <w:r>
        <w:t xml:space="preserve"> </w:t>
      </w:r>
      <w:r>
        <w:t xml:space="preserve">response processes, digitized real input distributions, a defensible counterfactual,</w:t>
      </w:r>
      <w:r>
        <w:t xml:space="preserve"> </w:t>
      </w:r>
      <w:r>
        <w:t xml:space="preserve">process-placed glances, and the full [W26] readout with the assumption-free severity</w:t>
      </w:r>
      <w:r>
        <w:t xml:space="preserve"> </w:t>
      </w:r>
      <w:r>
        <w:t xml:space="preserve">metric.</w:t>
      </w:r>
    </w:p>
    <w:p>
      <w:pPr>
        <w:pStyle w:val="Compact"/>
        <w:numPr>
          <w:ilvl w:val="0"/>
          <w:numId w:val="1009"/>
        </w:numPr>
      </w:pPr>
      <w:r>
        <w:t xml:space="preserve">At full population,</w:t>
      </w:r>
      <w:r>
        <w:t xml:space="preserve"> </w:t>
      </w:r>
      <w:r>
        <w:rPr>
          <w:b/>
          <w:bCs/>
        </w:rPr>
        <w:t xml:space="preserve">the active-inference conditions are closer to the QUADRIS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than the CBM control</w:t>
      </w:r>
      <w:r>
        <w:t xml:space="preserve"> </w:t>
      </w:r>
      <w:r>
        <w:t xml:space="preserve">on severity (θ 0.31 versus 0.39; with the abnormal</w:t>
      </w:r>
      <w:r>
        <w:t xml:space="preserve"> </w:t>
      </w:r>
      <w:r>
        <w:t xml:space="preserve">component 0.148 versus 0.209), despite generating 4.7 times its crash probability</w:t>
      </w:r>
      <w:r>
        <w:t xml:space="preserve"> </w:t>
      </w:r>
      <w:r>
        <w:t xml:space="preserve">(0.280 versus 0.059) — slower responses produce more crashes, but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crash</w:t>
      </w:r>
      <w:r>
        <w:t xml:space="preserve"> </w:t>
      </w:r>
      <w:r>
        <w:t xml:space="preserve">population. The ordering is</w:t>
      </w:r>
      <w:r>
        <w:t xml:space="preserve"> </w:t>
      </w:r>
      <w:r>
        <w:rPr>
          <w:b/>
          <w:bCs/>
        </w:rPr>
        <w:t xml:space="preserve">statistically solid rather than a point-estimate</w:t>
      </w:r>
      <w:r>
        <w:rPr>
          <w:b/>
          <w:bCs/>
        </w:rPr>
        <w:t xml:space="preserve"> </w:t>
      </w:r>
      <w:r>
        <w:rPr>
          <w:b/>
          <w:bCs/>
        </w:rPr>
        <w:t xml:space="preserve">impression</w:t>
      </w:r>
      <w:r>
        <w:t xml:space="preserve">: as a paired difference with a shared reference draw, θ_C − θ_B = 0.061</w:t>
      </w:r>
      <w:r>
        <w:t xml:space="preserve"> </w:t>
      </w:r>
      <w:r>
        <w:t xml:space="preserve">with a 95% HDI of [0.037, 0.107] and the same sign on every resample (section 4.3b-ii).</w:t>
      </w:r>
      <w:r>
        <w:t xml:space="preserve"> </w:t>
      </w:r>
      <w:r>
        <w:t xml:space="preserve">The best configuration still misses practical equivalence on severity — θ = 0.148</w:t>
      </w:r>
      <w:r>
        <w:t xml:space="preserve"> </w:t>
      </w:r>
      <w:r>
        <w:t xml:space="preserve">[0.110, 0.204] against the project’s adopted θthd = 0.188, failing on the interval’s</w:t>
      </w:r>
      <w:r>
        <w:t xml:space="preserve"> </w:t>
      </w:r>
      <w:r>
        <w:t xml:space="preserve">upper end — but it misses by a margin the reference can resolve, and down from the</w:t>
      </w:r>
      <w:r>
        <w:t xml:space="preserve"> </w:t>
      </w:r>
      <w:r>
        <w:t xml:space="preserve">factor of 14 the study started at. Only the active-inference conditions reproduce the</w:t>
      </w:r>
      <w:r>
        <w:t xml:space="preserve"> </w:t>
      </w:r>
      <w:r>
        <w:t xml:space="preserve">reference’s dominant non-braking crash character.</w:t>
      </w:r>
      <w:r>
        <w:t xml:space="preserve"> </w:t>
      </w:r>
      <w:r>
        <w:t xml:space="preserve">2b.</w:t>
      </w:r>
      <w:r>
        <w:t xml:space="preserve"> </w:t>
      </w:r>
      <w:r>
        <w:rPr>
          <w:b/>
          <w:bCs/>
        </w:rPr>
        <w:t xml:space="preserve">The braking metric was misreported, in both directions.</w:t>
      </w:r>
      <w:r>
        <w:t xml:space="preserve"> </w:t>
      </w:r>
      <w:r>
        <w:t xml:space="preserve">Its θ of 1.06 (B) and 1.38</w:t>
      </w:r>
    </w:p>
    <w:p>
      <w:pPr>
        <w:pStyle w:val="Compact"/>
        <w:numPr>
          <w:ilvl w:val="0"/>
          <w:numId w:val="1000"/>
        </w:numPr>
      </w:pPr>
      <w:r>
        <w:t xml:space="preserve">(C) is largely an artifact of quantile bins collapsing onto a 48% atom at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docs/severity_vs_timing.md</w:t>
      </w:r>
      <w:r>
        <w:t xml:space="preserve">). Measured on the weighted mean instead, condition B</w:t>
      </w:r>
      <w:r>
        <w:t xml:space="preserve"> </w:t>
      </w:r>
      <w:r>
        <w:t xml:space="preserve">reproduces the reference’s follower braking to within</w:t>
      </w:r>
      <w:r>
        <w:t xml:space="preserve"> </w:t>
      </w:r>
      <w:r>
        <w:rPr>
          <w:b/>
          <w:bCs/>
        </w:rPr>
        <w:t xml:space="preserve">0.3%</w:t>
      </w:r>
      <w:r>
        <w:t xml:space="preserve"> </w:t>
      </w:r>
      <w:r>
        <w:t xml:space="preserve">while the CBM control</w:t>
      </w:r>
      <w:r>
        <w:t xml:space="preserve"> </w:t>
      </w:r>
      <w:r>
        <w:t xml:space="preserve">over-brakes by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t xml:space="preserve">— a far sharper separation than θ ever showed (section 4.3c).</w:t>
      </w:r>
    </w:p>
    <w:p>
      <w:pPr>
        <w:pStyle w:val="Compact"/>
        <w:numPr>
          <w:ilvl w:val="0"/>
          <w:numId w:val="1009"/>
        </w:numPr>
      </w:pPr>
      <w:r>
        <w:t xml:space="preserve">The active-inference response-timing claim is</w:t>
      </w:r>
      <w:r>
        <w:t xml:space="preserve"> </w:t>
      </w:r>
      <w:r>
        <w:rPr>
          <w:b/>
          <w:bCs/>
        </w:rPr>
        <w:t xml:space="preserve">settled by the tier-2 arbiter</w:t>
      </w:r>
      <w:r>
        <w:t xml:space="preserve">: the</w:t>
      </w:r>
      <w:r>
        <w:t xml:space="preserve"> </w:t>
      </w:r>
      <w:r>
        <w:t xml:space="preserve">closed loop matches the zero-start surrogate (median difference +0.42 s, 20/24 seeds</w:t>
      </w:r>
      <w:r>
        <w:t xml:space="preserve"> </w:t>
      </w:r>
      <w:r>
        <w:t xml:space="preserve">closer) and rejects the stationary start, so the active-inference response is slower</w:t>
      </w:r>
      <w:r>
        <w:t xml:space="preserve"> </w:t>
      </w:r>
      <w:r>
        <w:t xml:space="preserve">and more variable than the CBM’s rule, with the tier-1 surrogate validated untuned to</w:t>
      </w:r>
      <w:r>
        <w:t xml:space="preserve"> </w:t>
      </w:r>
      <w:r>
        <w:t xml:space="preserve">a median absolute onset difference of 0.55 s across 1.3–35.5 m/s.</w:t>
      </w:r>
    </w:p>
    <w:p>
      <w:pPr>
        <w:pStyle w:val="Compact"/>
        <w:numPr>
          <w:ilvl w:val="0"/>
          <w:numId w:val="1009"/>
        </w:numPr>
      </w:pPr>
      <w:r>
        <w:t xml:space="preserve">The architectural finding stands: evidence gating versus inference gating during</w:t>
      </w:r>
      <w:r>
        <w:t xml:space="preserve"> </w:t>
      </w:r>
      <w:r>
        <w:t xml:space="preserve">off-road glances is a real, behaviorally testable difference between the CBM and</w:t>
      </w:r>
      <w:r>
        <w:t xml:space="preserve"> </w:t>
      </w:r>
      <w:r>
        <w:t xml:space="preserve">active inference (section 6).</w:t>
      </w:r>
    </w:p>
    <w:p>
      <w:pPr>
        <w:pStyle w:val="Compact"/>
        <w:numPr>
          <w:ilvl w:val="0"/>
          <w:numId w:val="1009"/>
        </w:numPr>
      </w:pPr>
      <w:r>
        <w:t xml:space="preserve">Equivalence in the strict ROPE sense is not reached by any configuration — as it was</w:t>
      </w:r>
      <w:r>
        <w:t xml:space="preserve"> </w:t>
      </w:r>
      <w:r>
        <w:t xml:space="preserve">not by the SCM in [W26] — and section 7’s numbers show that exposure-level claims</w:t>
      </w:r>
      <w:r>
        <w:t xml:space="preserve"> </w:t>
      </w:r>
      <w:r>
        <w:t xml:space="preserve">are outside what crash-conditioned seeds can support at any 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equivalence criteria themselves needed work before that verdict meant anything</w:t>
      </w:r>
      <w:r>
        <w:t xml:space="preserve"> </w:t>
      </w:r>
      <w:r>
        <w:t xml:space="preserve">(section 4.3b,</w:t>
      </w:r>
      <w:r>
        <w:t xml:space="preserve"> </w:t>
      </w:r>
      <w:r>
        <w:rPr>
          <w:rStyle w:val="VerbatimChar"/>
        </w:rPr>
        <w:t xml:space="preserve">docs/equivalence_rope_note.md</w:t>
      </w:r>
      <w:r>
        <w:t xml:space="preserve">). Our original configuration could not be</w:t>
      </w:r>
      <w:r>
        <w:t xml:space="preserve"> </w:t>
      </w:r>
      <w:r>
        <w:t xml:space="preserve">passed by a model that is exactly right, for three compounding reasons: uniform bin</w:t>
      </w:r>
      <w:r>
        <w:t xml:space="preserve"> </w:t>
      </w:r>
      <w:r>
        <w:t xml:space="preserve">weights applied a tolerance calibrated for a far more severe crash population, our</w:t>
      </w:r>
      <w:r>
        <w:t xml:space="preserve"> </w:t>
      </w:r>
      <w:r>
        <w:t xml:space="preserve">weighted bootstrap understated the spread by about a factor of two, and the reference</w:t>
      </w:r>
      <w:r>
        <w:t xml:space="preserve"> </w:t>
      </w:r>
      <w:r>
        <w:t xml:space="preserve">was treated as a sample rather than as the target set. With those settled — the QUADRIS</w:t>
      </w:r>
      <w:r>
        <w:t xml:space="preserve"> </w:t>
      </w:r>
      <w:r>
        <w:t xml:space="preserve">5 000 taken as the target population, thresholds derived from a stated 10% tolerance on</w:t>
      </w:r>
      <w:r>
        <w:t xml:space="preserve"> </w:t>
      </w:r>
      <w:r>
        <w:t xml:space="preserve">the injury-weighted mean rather than inherited — the noise floor falls to about 0.021</w:t>
      </w:r>
      <w:r>
        <w:t xml:space="preserve"> </w:t>
      </w:r>
      <w:r>
        <w:t xml:space="preserve">and the verdicts describe the model. A standing caution follows: θ and Θ constrain only</w:t>
      </w:r>
      <w:r>
        <w:t xml:space="preserve"> </w:t>
      </w:r>
      <w:r>
        <w:t xml:space="preserve">how mass is allocated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bins, so the weighted aggregate must be reported</w:t>
      </w:r>
      <w:r>
        <w:t xml:space="preserve"> </w:t>
      </w:r>
      <w:r>
        <w:t xml:space="preserve">alongside them, as section 4.3c now does.</w:t>
      </w:r>
    </w:p>
    <w:bookmarkEnd w:id="35"/>
    <w:bookmarkStart w:id="36" w:name="limitations-and-next-steps"/>
    <w:p>
      <w:pPr>
        <w:pStyle w:val="Heading2"/>
      </w:pPr>
      <w:r>
        <w:t xml:space="preserve">9 Limitations and next steps</w:t>
      </w:r>
    </w:p>
    <w:p>
      <w:pPr>
        <w:pStyle w:val="Compact"/>
        <w:numPr>
          <w:ilvl w:val="0"/>
          <w:numId w:val="1010"/>
        </w:numPr>
      </w:pPr>
      <w:r>
        <w:t xml:space="preserve">Glance and deceleration distributions are digitized from published figures; the actual</w:t>
      </w:r>
      <w:r>
        <w:t xml:space="preserve"> </w:t>
      </w:r>
      <w:r>
        <w:t xml:space="preserve">SHRP2 bins would remove the residual digitization error and the truncated glance tail.</w:t>
      </w:r>
      <w:r>
        <w:t xml:space="preserve"> </w:t>
      </w:r>
      <w:r>
        <w:t xml:space="preserve">The abnormal-acceleration onset-time distribution of [W25a] is unpublished; the</w:t>
      </w:r>
      <w:r>
        <w:t xml:space="preserve"> </w:t>
      </w:r>
      <w:r>
        <w:t xml:space="preserve">component applies its acceleration from the lead’s braking onset instead.</w:t>
      </w:r>
    </w:p>
    <w:p>
      <w:pPr>
        <w:pStyle w:val="Compact"/>
        <w:numPr>
          <w:ilvl w:val="0"/>
          <w:numId w:val="1010"/>
        </w:numPr>
      </w:pPr>
      <w:r>
        <w:t xml:space="preserve">The full-population runs use 10 process draws per seed (seed-level variation dominates</w:t>
      </w:r>
      <w:r>
        <w:t xml:space="preserve"> </w:t>
      </w:r>
      <w:r>
        <w:t xml:space="preserve">at n = 5 000; the 100-seed sensitivity runs used 50). The QUADRIS reference is itself</w:t>
      </w:r>
      <w:r>
        <w:t xml:space="preserve"> </w:t>
      </w:r>
      <w:r>
        <w:t xml:space="preserve">model-generated, so all equivalence statements are relative to that generator.</w:t>
      </w:r>
    </w:p>
    <w:p>
      <w:pPr>
        <w:pStyle w:val="Compact"/>
        <w:numPr>
          <w:ilvl w:val="0"/>
          <w:numId w:val="1010"/>
        </w:numPr>
      </w:pPr>
      <w:r>
        <w:t xml:space="preserve">The accumulator-initialization question is closed for this design (section 5); what a</w:t>
      </w:r>
      <w:r>
        <w:t xml:space="preserve"> </w:t>
      </w:r>
      <w:r>
        <w:t xml:space="preserve">driver carries into a conflict after minutes of continuous short-gap following remains</w:t>
      </w:r>
      <w:r>
        <w:t xml:space="preserve"> </w:t>
      </w:r>
      <w:r>
        <w:t xml:space="preserve">outside both tiers’ windows, and would matter for study designs with long run-ins.</w:t>
      </w:r>
    </w:p>
    <w:p>
      <w:pPr>
        <w:pStyle w:val="Compact"/>
        <w:numPr>
          <w:ilvl w:val="0"/>
          <w:numId w:val="1010"/>
        </w:numPr>
      </w:pPr>
      <w:r>
        <w:t xml:space="preserve">The stopped/creeping-follower seeds (20 of the 100-seed sample) have now run in</w:t>
      </w:r>
      <w:r>
        <w:t xml:space="preserve"> </w:t>
      </w:r>
      <w:r>
        <w:t xml:space="preserve">tier 2 under the desired-speed convention of 2026-08-25 (the speed the original</w:t>
      </w:r>
      <w:r>
        <w:t xml:space="preserve"> </w:t>
      </w:r>
      <w:r>
        <w:t xml:space="preserve">follower later reached), and the result is a finding rather than a fix: these are</w:t>
      </w:r>
      <w:r>
        <w:t xml:space="preserve"> </w:t>
      </w:r>
      <w:r>
        <w:rPr>
          <w:b/>
          <w:bCs/>
        </w:rPr>
        <w:t xml:space="preserve">both-stationary queue scenarios</w:t>
      </w:r>
      <w:r>
        <w:t xml:space="preserve"> </w:t>
      </w:r>
      <w:r>
        <w:t xml:space="preserve">— the lead also stands still — whose original</w:t>
      </w:r>
      <w:r>
        <w:t xml:space="preserve"> </w:t>
      </w:r>
      <w:r>
        <w:t xml:space="preserve">crashes came from the generator’s abnormal-acceleration mode driving into the queue</w:t>
      </w:r>
      <w:r>
        <w:t xml:space="preserve"> </w:t>
      </w:r>
      <w:r>
        <w:t xml:space="preserve">(56% of both-stationary cases in [W25a]’s own statistics). The closed-loop driver,</w:t>
      </w:r>
      <w:r>
        <w:t xml:space="preserve"> </w:t>
      </w:r>
      <w:r>
        <w:t xml:space="preserve">correctly, stays put: no attentive response process can produce these crashes, because</w:t>
      </w:r>
      <w:r>
        <w:t xml:space="preserve"> </w:t>
      </w:r>
      <w:r>
        <w:t xml:space="preserve">there is no conflict to respond to. They are reachable only through the</w:t>
      </w:r>
      <w:r>
        <w:t xml:space="preserve"> </w:t>
      </w:r>
      <w:r>
        <w:t xml:space="preserve">abnormal-acceleration and no-response components, which is how the tier-1 pipeline</w:t>
      </w:r>
      <w:r>
        <w:t xml:space="preserve"> </w:t>
      </w:r>
      <w:r>
        <w:t xml:space="preserve">treats them; in the arbiter comparison they contribute no attentive onsets and are</w:t>
      </w:r>
      <w:r>
        <w:t xml:space="preserve"> </w:t>
      </w:r>
      <w:r>
        <w:t xml:space="preserve">excluded automatically.</w:t>
      </w:r>
    </w:p>
    <w:p>
      <w:pPr>
        <w:pStyle w:val="FirstParagraph"/>
      </w:pPr>
      <w:r>
        <w:t xml:space="preserve">Regeneration: the tagged commands are in</w:t>
      </w:r>
      <w:r>
        <w:t xml:space="preserve"> </w:t>
      </w:r>
      <w:r>
        <w:rPr>
          <w:rStyle w:val="VerbatimChar"/>
        </w:rPr>
        <w:t xml:space="preserve">replication/causation/out/log_nb*.txt</w:t>
      </w:r>
      <w:r>
        <w:t xml:space="preserve">; figures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replication/causation/make_results_figures.py --tag nbp</w:t>
      </w:r>
      <w:r>
        <w:t xml:space="preserve">; this document by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2026-08-26T19:15:18Z</dcterms:created>
  <dcterms:modified xsi:type="dcterms:W3CDTF">2026-08-26T19:15:18Z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