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e5f81830c74c8cc1a2964d1b81ed8f366a446e"/>
    <w:p>
      <w:pPr>
        <w:pStyle w:val="Heading1"/>
      </w:pPr>
      <w:r>
        <w:t xml:space="preserve">Setting the practical-equivalence ROPE: a calibration note</w:t>
      </w:r>
    </w:p>
    <w:p>
      <w:pPr>
        <w:pStyle w:val="FirstParagraph"/>
      </w:pPr>
      <w:r>
        <w:rPr>
          <w:i/>
          <w:iCs/>
        </w:rPr>
        <w:t xml:space="preserve">Written 2026-08-26 for the WaymoActiveInference project. Intended both as internal</w:t>
      </w:r>
      <w:r>
        <w:rPr>
          <w:i/>
          <w:iCs/>
        </w:rPr>
        <w:t xml:space="preserve"> </w:t>
      </w:r>
      <w:r>
        <w:rPr>
          <w:i/>
          <w:iCs/>
        </w:rPr>
        <w:t xml:space="preserve">guidance and, after Jonas’s edit, as a note that could be sent to Jian Wu. It reports a</w:t>
      </w:r>
      <w:r>
        <w:rPr>
          <w:i/>
          <w:iCs/>
        </w:rPr>
        <w:t xml:space="preserve"> </w:t>
      </w:r>
      <w:r>
        <w:rPr>
          <w:i/>
          <w:iCs/>
        </w:rPr>
        <w:t xml:space="preserve">calibration of the [W26] binning/ROPE framework as applied to our crash-causation study,</w:t>
      </w:r>
      <w:r>
        <w:rPr>
          <w:i/>
          <w:iCs/>
        </w:rPr>
        <w:t xml:space="preserve"> </w:t>
      </w:r>
      <w:r>
        <w:rPr>
          <w:i/>
          <w:iCs/>
        </w:rPr>
        <w:t xml:space="preserve">and proposes explicit, derived ROPE thresholds and bin weights for our use case. Source</w:t>
      </w:r>
      <w:r>
        <w:rPr>
          <w:i/>
          <w:iCs/>
        </w:rPr>
        <w:t xml:space="preserve"> </w:t>
      </w:r>
      <w:r>
        <w:rPr>
          <w:i/>
          <w:iCs/>
        </w:rPr>
        <w:t xml:space="preserve">for the method: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external/OtherNonActiveInference/551989_Fulltext_practical_validation.txt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sections 2.1–2.4 and 3.3–3.4, read directly.</w:t>
      </w:r>
    </w:p>
    <w:bookmarkStart w:id="9" w:name="summary-of-what-this-note-argues"/>
    <w:p>
      <w:pPr>
        <w:pStyle w:val="Heading2"/>
      </w:pPr>
      <w:r>
        <w:t xml:space="preserve">Summary of what this note argues</w:t>
      </w:r>
    </w:p>
    <w:p>
      <w:pPr>
        <w:pStyle w:val="FirstParagraph"/>
      </w:pPr>
      <w:r>
        <w:rPr>
          <w:i/>
          <w:iCs/>
        </w:rPr>
        <w:t xml:space="preserve">Sections 2.5, 2.6 and 5 were revised on 2026-08-26 after Jonas took the outstanding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decisions. The headline changed: with the reference treated as the target population, the</w:t>
      </w:r>
      <w:r>
        <w:rPr>
          <w:i/>
          <w:iCs/>
        </w:rPr>
        <w:t xml:space="preserve"> </w:t>
      </w:r>
      <w:r>
        <w:rPr>
          <w:i/>
          <w:iCs/>
        </w:rPr>
        <w:t xml:space="preserve">ROPE is no longer below the noise floor and the verdicts become real statements about the</w:t>
      </w:r>
      <w:r>
        <w:rPr>
          <w:i/>
          <w:iCs/>
        </w:rPr>
        <w:t xml:space="preserve"> </w:t>
      </w:r>
      <w:r>
        <w:rPr>
          <w:i/>
          <w:iCs/>
        </w:rPr>
        <w:t xml:space="preserve">model. Earlier sections are kept as the record of how that conclusion was reached.</w:t>
      </w:r>
    </w:p>
    <w:p>
      <w:pPr>
        <w:pStyle w:val="Compact"/>
        <w:numPr>
          <w:ilvl w:val="0"/>
          <w:numId w:val="1001"/>
        </w:numPr>
      </w:pPr>
      <w:r>
        <w:t xml:space="preserve">As we originally applied it — uniform bin weights, a defective bootstrap, and five bins —</w:t>
      </w:r>
      <w:r>
        <w:t xml:space="preserve"> </w:t>
      </w:r>
      <w:r>
        <w:t xml:space="preserve">the pair (θ ≤ 0.10, Θ ≤ 0.05) sat at or below the noise floor of the reference, so a</w:t>
      </w:r>
      <w:r>
        <w:t xml:space="preserve"> </w:t>
      </w:r>
      <w:r>
        <w:t xml:space="preserve">model that is exactly right failed much of the time.</w:t>
      </w:r>
      <w:r>
        <w:t xml:space="preserve"> </w:t>
      </w:r>
      <w:r>
        <w:rPr>
          <w:b/>
          <w:bCs/>
        </w:rPr>
        <w:t xml:space="preserve">This has since been resolved</w:t>
      </w:r>
      <w:r>
        <w:t xml:space="preserve"> </w:t>
      </w:r>
      <w:r>
        <w:t xml:space="preserve">(points 6–7).</w:t>
      </w:r>
    </w:p>
    <w:p>
      <w:pPr>
        <w:pStyle w:val="Compact"/>
        <w:numPr>
          <w:ilvl w:val="0"/>
          <w:numId w:val="1001"/>
        </w:numPr>
      </w:pPr>
      <w:r>
        <w:t xml:space="preserve">The strictness came from choices made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the thresholds — how the reference was</w:t>
      </w:r>
      <w:r>
        <w:t xml:space="preserve"> </w:t>
      </w:r>
      <w:r>
        <w:t xml:space="preserve">resampled, the</w:t>
      </w:r>
      <w:r>
        <w:t xml:space="preserve"> </w:t>
      </w:r>
      <w:r>
        <w:rPr>
          <w:b/>
          <w:bCs/>
        </w:rPr>
        <w:t xml:space="preserve">bin count</w:t>
      </w:r>
      <w:r>
        <w:t xml:space="preserve">, and the fact that uniform weights place every bin at the</w:t>
      </w:r>
      <w:r>
        <w:t xml:space="preserve"> </w:t>
      </w:r>
      <w:r>
        <w:t xml:space="preserve">framework’s baseline weight, which is anchored to a much more severe crash population</w:t>
      </w:r>
      <w:r>
        <w:t xml:space="preserve"> </w:t>
      </w:r>
      <w:r>
        <w:t xml:space="preserve">than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Both thresholds can be derived</w:t>
      </w:r>
      <w:r>
        <w:t xml:space="preserve"> </w:t>
      </w:r>
      <w:r>
        <w:t xml:space="preserve">from a stated tolerance on the injury-weighted</w:t>
      </w:r>
      <w:r>
        <w:t xml:space="preserve"> </w:t>
      </w:r>
      <w:r>
        <w:t xml:space="preserve">aggregate rather than inherited (section 3). A 10% tolerance gives θthd = 0.188 and</w:t>
      </w:r>
      <w:r>
        <w:t xml:space="preserve"> </w:t>
      </w:r>
      <w:r>
        <w:t xml:space="preserve">Θthd = 0.089; a 5% tolerance gives (0.094, 0.045), which is almost exactly Wu’s</w:t>
      </w:r>
      <w:r>
        <w:t xml:space="preserve"> </w:t>
      </w:r>
      <w:r>
        <w:t xml:space="preserve">published pair — so their values are coherent, just calibrated to a stricter target</w:t>
      </w:r>
      <w:r>
        <w:t xml:space="preserve"> </w:t>
      </w:r>
      <w:r>
        <w:t xml:space="preserve">than ours needs to be.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Choosing the weight anchor P0 is mathematically the same act as choosing the θ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(section 4.1). They are one knob, not two. Since the weight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moves</w:t>
      </w:r>
      <w:r>
        <w:t xml:space="preserve"> </w:t>
      </w:r>
      <w:r>
        <w:t xml:space="preserve">θ by only 7% on our data, uniform weights plus an explicit threshold is the</w:t>
      </w:r>
      <w:r>
        <w:t xml:space="preserve"> </w:t>
      </w:r>
      <w:r>
        <w:t xml:space="preserve">recommendation — no system under assessment is needed, and building one would not help.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Correction to an earlier version of this note</w:t>
      </w:r>
      <w:r>
        <w:t xml:space="preserve">: θ and Θ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bound the error in</w:t>
      </w:r>
      <w:r>
        <w:t xml:space="preserve"> </w:t>
      </w:r>
      <w:r>
        <w:t xml:space="preserve">a weighted aggregate. They constrain between-bin allocation only. Condition B’s actual</w:t>
      </w:r>
      <w:r>
        <w:t xml:space="preserve"> </w:t>
      </w:r>
      <w:r>
        <w:t xml:space="preserve">mean injury risk is +12.6% against the reference while its binned approximation is</w:t>
      </w:r>
      <w:r>
        <w:t xml:space="preserve"> </w:t>
      </w:r>
      <w:r>
        <w:t xml:space="preserve">−2.7%, the gap sitting almost entirely in the open-ended top bin (section 3.2). The</w:t>
      </w:r>
      <w:r>
        <w:t xml:space="preserve"> </w:t>
      </w:r>
      <w:r>
        <w:t xml:space="preserve">aggregate is now reported directly alongside the verdict.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 taken: the reference is the target population</w:t>
      </w:r>
      <w:r>
        <w:t xml:space="preserve"> </w:t>
      </w:r>
      <w:r>
        <w:t xml:space="preserve">(§2.5). The 5 000 QUADRIS</w:t>
      </w:r>
      <w:r>
        <w:t xml:space="preserve"> </w:t>
      </w:r>
      <w:r>
        <w:t xml:space="preserve">scenarios define the ensemble the comparison is about, so only the synthetic side carries</w:t>
      </w:r>
      <w:r>
        <w:t xml:space="preserve"> </w:t>
      </w:r>
      <w:r>
        <w:t xml:space="preserve">sampling error. This drops the noise floor from 0.177 to about</w:t>
      </w:r>
      <w:r>
        <w:t xml:space="preserve"> </w:t>
      </w:r>
      <w:r>
        <w:rPr>
          <w:b/>
          <w:bCs/>
        </w:rPr>
        <w:t xml:space="preserve">0.021</w:t>
      </w:r>
      <w:r>
        <w:t xml:space="preserve"> </w:t>
      </w:r>
      <w:r>
        <w:t xml:space="preserve">at N = 5 and</w:t>
      </w:r>
      <w:r>
        <w:t xml:space="preserve"> </w:t>
      </w:r>
      <w:r>
        <w:t xml:space="preserve">makes every candidate threshold usable. The condition attached is that claims must name</w:t>
      </w:r>
      <w:r>
        <w:t xml:space="preserve"> </w:t>
      </w:r>
      <w:r>
        <w:t xml:space="preserve">the ensemble and must not generalize to the fleet. Under this configuration condition B</w:t>
      </w:r>
      <w:r>
        <w:t xml:space="preserve"> </w:t>
      </w:r>
      <w:r>
        <w:t xml:space="preserve">still</w:t>
      </w:r>
      <w:r>
        <w:t xml:space="preserve"> </w:t>
      </w:r>
      <w:r>
        <w:rPr>
          <w:b/>
          <w:bCs/>
        </w:rPr>
        <w:t xml:space="preserve">misses</w:t>
      </w:r>
      <w:r>
        <w:t xml:space="preserve"> </w:t>
      </w:r>
      <w:r>
        <w:t xml:space="preserve">practical equivalence at a 10% tolerance — θ = 0.148 [0.110, 0.204]</w:t>
      </w:r>
      <w:r>
        <w:t xml:space="preserve"> </w:t>
      </w:r>
      <w:r>
        <w:t xml:space="preserve">against θthd = 0.188, failing on the interval’s upper end rather than the point estimate</w:t>
      </w:r>
      <w:r>
        <w:t xml:space="preserve"> </w:t>
      </w:r>
      <w:r>
        <w:t xml:space="preserve">— but it now misses against a criterion the reference can resolve.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 taken: severity stays operationalized as injury risk</w:t>
      </w:r>
      <w:r>
        <w:t xml:space="preserve">, not as relative speed</w:t>
      </w:r>
      <w:r>
        <w:t xml:space="preserve"> </w:t>
      </w:r>
      <w:r>
        <w:t xml:space="preserve">at impact, despite the latter being the assumption-free primitive (§5.3). The convexity</w:t>
      </w:r>
      <w:r>
        <w:t xml:space="preserve"> </w:t>
      </w:r>
      <w:r>
        <w:t xml:space="preserve">that makes injury risk look worse in aggregate is the metric correctly reporting that</w:t>
      </w:r>
      <w:r>
        <w:t xml:space="preserve"> </w:t>
      </w:r>
      <w:r>
        <w:t xml:space="preserve">tail errors matter for harm.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 taken on the general problem</w:t>
      </w:r>
      <w:r>
        <w:t xml:space="preserve"> </w:t>
      </w:r>
      <w:r>
        <w:t xml:space="preserve">of a noise floor exceeding an acceptable</w:t>
      </w:r>
      <w:r>
        <w:t xml:space="preserve"> </w:t>
      </w:r>
      <w:r>
        <w:t xml:space="preserve">tolerance (§2.6): report the floor, try to lower it before raising the threshold, and if</w:t>
      </w:r>
      <w:r>
        <w:t xml:space="preserve"> </w:t>
      </w:r>
      <w:r>
        <w:t xml:space="preserve">it still binds, raise the threshold to the floor and say so — because a tolerance finer</w:t>
      </w:r>
      <w:r>
        <w:t xml:space="preserve"> </w:t>
      </w:r>
      <w:r>
        <w:t xml:space="preserve">than the study can resolve is a tolerance that needs revisiting.</w:t>
      </w:r>
    </w:p>
    <w:p>
      <w:pPr>
        <w:pStyle w:val="Compact"/>
        <w:numPr>
          <w:ilvl w:val="0"/>
          <w:numId w:val="1001"/>
        </w:numPr>
      </w:pPr>
      <w:r>
        <w:t xml:space="preserve">Concrete proposals are in sections 5 and 6, with a paper-ready motivation in §5.1.</w:t>
      </w:r>
    </w:p>
    <w:bookmarkEnd w:id="9"/>
    <w:bookmarkStart w:id="10" w:name="what-the-rope-is-in-plain-terms"/>
    <w:p>
      <w:pPr>
        <w:pStyle w:val="Heading2"/>
      </w:pPr>
      <w:r>
        <w:t xml:space="preserve">1 What the ROPE is, in plain terms</w:t>
      </w:r>
    </w:p>
    <w:p>
      <w:pPr>
        <w:pStyle w:val="FirstParagraph"/>
      </w:pPr>
      <w:r>
        <w:t xml:space="preserve">The framework asks whether a synthetic crash dataset can stand in for a reference one. An</w:t>
      </w:r>
      <w:r>
        <w:t xml:space="preserve"> </w:t>
      </w:r>
      <w:r>
        <w:t xml:space="preserve">ordinary significance test answers the wrong question: with enough data it will always</w:t>
      </w:r>
      <w:r>
        <w:t xml:space="preserve"> </w:t>
      </w:r>
      <w:r>
        <w:t xml:space="preserve">detect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difference, because no two distributions are exactly equal. An equivalence</w:t>
      </w:r>
      <w:r>
        <w:t xml:space="preserve"> </w:t>
      </w:r>
      <w:r>
        <w:t xml:space="preserve">test reverses this and asks whether any difference is</w:t>
      </w:r>
      <w:r>
        <w:t xml:space="preserve"> </w:t>
      </w:r>
      <w:r>
        <w:rPr>
          <w:b/>
          <w:bCs/>
        </w:rPr>
        <w:t xml:space="preserve">small enough not to matter</w:t>
      </w:r>
      <w:r>
        <w:t xml:space="preserve">. The</w:t>
      </w:r>
      <w:r>
        <w:t xml:space="preserve"> </w:t>
      </w:r>
      <w:r>
        <w:t xml:space="preserve">ROPE — region of practical equivalence — is the written-down definition of</w:t>
      </w:r>
      <w:r>
        <w:t xml:space="preserve"> </w:t>
      </w:r>
      <w:r>
        <w:t xml:space="preserve">“small enough”</w:t>
      </w:r>
      <w:r>
        <w:t xml:space="preserve">.</w:t>
      </w:r>
      <w:r>
        <w:t xml:space="preserve"> </w:t>
      </w:r>
      <w:r>
        <w:t xml:space="preserve">Nothing statistical determines it; it is a domain judgment about what difference would</w:t>
      </w:r>
      <w:r>
        <w:t xml:space="preserve"> </w:t>
      </w:r>
      <w:r>
        <w:t xml:space="preserve">change a decision. [W26] is explicit on this point: the thresholds</w:t>
      </w:r>
      <w:r>
        <w:t xml:space="preserve"> </w:t>
      </w:r>
      <w:r>
        <w:t xml:space="preserve">“should be set based on</w:t>
      </w:r>
      <w:r>
        <w:t xml:space="preserve"> </w:t>
      </w:r>
      <w:r>
        <w:t xml:space="preserve">expert judgment to reflect the relevance and priorities of the intended assessment”</w:t>
      </w:r>
      <w:r>
        <w:t xml:space="preserve">.</w:t>
      </w:r>
    </w:p>
    <w:p>
      <w:pPr>
        <w:pStyle w:val="BodyText"/>
      </w:pPr>
      <w:r>
        <w:t xml:space="preserve">The machinery makes</w:t>
      </w:r>
      <w:r>
        <w:t xml:space="preserve"> </w:t>
      </w:r>
      <w:r>
        <w:t xml:space="preserve">“difference”</w:t>
      </w:r>
      <w:r>
        <w:t xml:space="preserve"> </w:t>
      </w:r>
      <w:r>
        <w:t xml:space="preserve">precise: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Cut the reference into N equal-weight slices.</w:t>
      </w:r>
      <w:r>
        <w:t xml:space="preserve"> </w:t>
      </w:r>
      <w:r>
        <w:t xml:space="preserve">Sort the reference crashes by severity</w:t>
      </w:r>
      <w:r>
        <w:t xml:space="preserve"> </w:t>
      </w:r>
      <w:r>
        <w:t xml:space="preserve">and split into N = 5 bins each holding 20% of the weighted data. Bin 1 is the mildest</w:t>
      </w:r>
      <w:r>
        <w:t xml:space="preserve"> </w:t>
      </w:r>
      <w:r>
        <w:t xml:space="preserve">fifth, bin 5 the most severe.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Pour the model’s crashes into those same bins.</w:t>
      </w:r>
      <w:r>
        <w:t xml:space="preserve"> </w:t>
      </w:r>
      <w:r>
        <w:t xml:space="preserve">A perfect model puts 20% in each.</w:t>
      </w:r>
      <w:r>
        <w:t xml:space="preserve"> </w:t>
      </w:r>
      <w:r>
        <w:t xml:space="preserve">Our best configuration puts 17.4%, 20.5%, 21.2%, 22.9%, 18.0%.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Summarize two ways.</w:t>
      </w:r>
      <w:r>
        <w:t xml:space="preserve"> </w:t>
      </w:r>
      <w:r>
        <w:t xml:space="preserve">θ is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bin measured relative to its proper share:</w:t>
      </w:r>
      <w:r>
        <w:t xml:space="preserve"> </w:t>
      </w:r>
      <w:r>
        <w:t xml:space="preserve">bin 4 holds 22.9% where 19.9% belongs, an excess of 3.0 points, which is 14.8% of 19.9%,</w:t>
      </w:r>
      <w:r>
        <w:t xml:space="preserve"> </w:t>
      </w:r>
      <w:r>
        <w:t xml:space="preserve">so θ = 0.148. Θ is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misplaced share: 0.091.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Weight the bins by how much they matter</w:t>
      </w:r>
      <w:r>
        <w:t xml:space="preserve"> </w:t>
      </w:r>
      <w:r>
        <w:t xml:space="preserve">(ω, section 4), and require the 95% HDI of</w:t>
      </w:r>
      <w:r>
        <w:t xml:space="preserve"> </w:t>
      </w:r>
      <w:r>
        <w:t xml:space="preserve">each statistic to lie inside its ROPE.</w:t>
      </w:r>
    </w:p>
    <w:p>
      <w:pPr>
        <w:pStyle w:val="FirstParagraph"/>
      </w:pPr>
      <w:r>
        <w:t xml:space="preserve">Two intuitions are worth carrying. θ is a worst-case measure, dominated by whichever single</w:t>
      </w:r>
      <w:r>
        <w:t xml:space="preserve"> </w:t>
      </w:r>
      <w:r>
        <w:t xml:space="preserve">bin is worst, and it gets stricter as bins get finer. Θ is an aggregate and is exactly</w:t>
      </w:r>
      <w:r>
        <w:t xml:space="preserve"> </w:t>
      </w:r>
      <w:r>
        <w:rPr>
          <w:b/>
          <w:bCs/>
        </w:rPr>
        <w:t xml:space="preserve">twice the total-variation distance</w:t>
      </w:r>
      <w:r>
        <w:t xml:space="preserve">, so Θ ≤ 0.05 means the two distributions may</w:t>
      </w:r>
      <w:r>
        <w:t xml:space="preserve"> </w:t>
      </w:r>
      <w:r>
        <w:t xml:space="preserve">disagree about where at most 2.5% of the probability mass sits.</w:t>
      </w:r>
    </w:p>
    <w:p>
      <w:pPr>
        <w:pStyle w:val="BodyText"/>
      </w:pPr>
      <w:r>
        <w:t xml:space="preserve">In one sentence for someone who has read none of this:</w:t>
      </w:r>
      <w:r>
        <w:t xml:space="preserve"> </w:t>
      </w:r>
      <w:r>
        <w:rPr>
          <w:i/>
          <w:iCs/>
        </w:rPr>
        <w:t xml:space="preserve">cut the real crashes into five</w:t>
      </w:r>
      <w:r>
        <w:rPr>
          <w:i/>
          <w:iCs/>
        </w:rPr>
        <w:t xml:space="preserve"> </w:t>
      </w:r>
      <w:r>
        <w:rPr>
          <w:i/>
          <w:iCs/>
        </w:rPr>
        <w:t xml:space="preserve">equally sized severity bands, check what fraction of the simulated crashes lands in each</w:t>
      </w:r>
      <w:r>
        <w:rPr>
          <w:i/>
          <w:iCs/>
        </w:rPr>
        <w:t xml:space="preserve"> </w:t>
      </w:r>
      <w:r>
        <w:rPr>
          <w:i/>
          <w:iCs/>
        </w:rPr>
        <w:t xml:space="preserve">band, and require that no band is off by more than 10% of its proper share.</w:t>
      </w:r>
    </w:p>
    <w:p>
      <w:pPr>
        <w:pStyle w:val="BodyText"/>
      </w:pPr>
      <w:r>
        <w:t xml:space="preserve">For our own result, the most concrete framing is: the model misplaces about</w:t>
      </w:r>
      <w:r>
        <w:t xml:space="preserve"> </w:t>
      </w:r>
      <w:r>
        <w:rPr>
          <w:b/>
          <w:bCs/>
        </w:rPr>
        <w:t xml:space="preserve">3 crashes in</w:t>
      </w:r>
      <w:r>
        <w:rPr>
          <w:b/>
          <w:bCs/>
        </w:rPr>
        <w:t xml:space="preserve"> </w:t>
      </w:r>
      <w:r>
        <w:rPr>
          <w:b/>
          <w:bCs/>
        </w:rPr>
        <w:t xml:space="preserve">every 100</w:t>
      </w:r>
      <w:r>
        <w:t xml:space="preserve"> </w:t>
      </w:r>
      <w:r>
        <w:t xml:space="preserve">relative to where the reference puts them on the severity scale, and the ROPE</w:t>
      </w:r>
      <w:r>
        <w:t xml:space="preserve"> </w:t>
      </w:r>
      <w:r>
        <w:t xml:space="preserve">as we applied it demands no more than</w:t>
      </w:r>
      <w:r>
        <w:t xml:space="preserve"> </w:t>
      </w:r>
      <w:r>
        <w:rPr>
          <w:b/>
          <w:bCs/>
        </w:rPr>
        <w:t xml:space="preserve">2 in 100</w:t>
      </w:r>
      <w:r>
        <w:t xml:space="preserve">.</w:t>
      </w:r>
    </w:p>
    <w:bookmarkEnd w:id="10"/>
    <w:bookmarkStart w:id="18" w:name="is-it-hard-to-pass-three-calibrations"/>
    <w:p>
      <w:pPr>
        <w:pStyle w:val="Heading2"/>
      </w:pPr>
      <w:r>
        <w:t xml:space="preserve">2 Is it hard to pass? Three calibrations</w:t>
      </w:r>
    </w:p>
    <w:bookmarkStart w:id="11" w:name="X765153023e318317e4658691fa84d7caa7f1e48"/>
    <w:p>
      <w:pPr>
        <w:pStyle w:val="Heading3"/>
      </w:pPr>
      <w:r>
        <w:t xml:space="preserve">2.1 The null: compare the reference with itself</w:t>
      </w:r>
    </w:p>
    <w:p>
      <w:pPr>
        <w:pStyle w:val="BlockText"/>
      </w:pPr>
      <w:r>
        <w:rPr>
          <w:b/>
          <w:bCs/>
        </w:rPr>
        <w:t xml:space="preserve">Superseded twice — read with §2.2b and §2.5.</w:t>
      </w:r>
      <w:r>
        <w:t xml:space="preserve"> </w:t>
      </w:r>
      <w:r>
        <w:t xml:space="preserve">The numbers below were produced with the</w:t>
      </w:r>
      <w:r>
        <w:t xml:space="preserve"> </w:t>
      </w:r>
      <w:r>
        <w:t xml:space="preserve">defective bootstrap of §2.2b, which understated the spread,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under the reading that</w:t>
      </w:r>
      <w:r>
        <w:t xml:space="preserve"> </w:t>
      </w:r>
      <w:r>
        <w:t xml:space="preserve">the reference is a sample, which §2.5 has since replaced. Under the project’s settled</w:t>
      </w:r>
      <w:r>
        <w:t xml:space="preserve"> </w:t>
      </w:r>
      <w:r>
        <w:t xml:space="preserve">convention the noise floor at N = 5 is about</w:t>
      </w:r>
      <w:r>
        <w:t xml:space="preserve"> </w:t>
      </w:r>
      <w:r>
        <w:rPr>
          <w:b/>
          <w:bCs/>
        </w:rPr>
        <w:t xml:space="preserve">0.021</w:t>
      </w:r>
      <w:r>
        <w:t xml:space="preserve">, not 0.097. This section is kept</w:t>
      </w:r>
      <w:r>
        <w:t xml:space="preserve"> </w:t>
      </w:r>
      <w:r>
        <w:t xml:space="preserve">because it is how the problem was found and because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its conclusion — that a</w:t>
      </w:r>
      <w:r>
        <w:t xml:space="preserve"> </w:t>
      </w:r>
      <w:r>
        <w:t xml:space="preserve">null calibration is the right diagnostic — still holds.</w:t>
      </w:r>
    </w:p>
    <w:p>
      <w:pPr>
        <w:pStyle w:val="FirstParagraph"/>
      </w:pPr>
      <w:r>
        <w:t xml:space="preserve">This was the decisive diagnostic. I drew a 5 000-scenario reference and a 103 857-case</w:t>
      </w:r>
      <w:r>
        <w:t xml:space="preserve"> </w:t>
      </w:r>
      <w:r>
        <w:t xml:space="preserve">“model”</w:t>
      </w:r>
      <w:r>
        <w:t xml:space="preserve"> </w:t>
      </w:r>
      <w:r>
        <w:rPr>
          <w:i/>
          <w:iCs/>
        </w:rPr>
        <w:t xml:space="preserve">from the actual QUADRIS severity distribution itself</w:t>
      </w:r>
      <w:r>
        <w:t xml:space="preserve">, so the two are identical by</w:t>
      </w:r>
      <w:r>
        <w:t xml:space="preserve"> </w:t>
      </w:r>
      <w:r>
        <w:t xml:space="preserve">construction, and ran our own test on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median θ</w:t>
            </w:r>
          </w:p>
        </w:tc>
        <w:tc>
          <w:tcPr/>
          <w:p>
            <w:pPr>
              <w:pStyle w:val="Compact"/>
            </w:pPr>
            <w:r>
              <w:t xml:space="preserve">median 95%-HDI upper</w:t>
            </w:r>
          </w:p>
        </w:tc>
        <w:tc>
          <w:tcPr/>
          <w:p>
            <w:pPr>
              <w:pStyle w:val="Compact"/>
            </w:pPr>
            <w:r>
              <w:t xml:space="preserve">pass rate (θ ≤ 0.10)</w:t>
            </w:r>
          </w:p>
        </w:tc>
        <w:tc>
          <w:tcPr/>
          <w:p>
            <w:pPr>
              <w:pStyle w:val="Compact"/>
            </w:pPr>
            <w:r>
              <w:t xml:space="preserve">median 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</w:tbl>
    <w:p>
      <w:pPr>
        <w:pStyle w:val="BodyText"/>
      </w:pPr>
      <w:r>
        <w:t xml:space="preserve">At N = 5 the HDI upper bound lands at 0.097 against a threshold of 0.10 —</w:t>
      </w:r>
      <w:r>
        <w:t xml:space="preserve"> </w:t>
      </w:r>
      <w:r>
        <w:rPr>
          <w:b/>
          <w:bCs/>
        </w:rPr>
        <w:t xml:space="preserve">a perfect model</w:t>
      </w:r>
      <w:r>
        <w:rPr>
          <w:b/>
          <w:bCs/>
        </w:rPr>
        <w:t xml:space="preserve"> </w:t>
      </w:r>
      <w:r>
        <w:rPr>
          <w:b/>
          <w:bCs/>
        </w:rPr>
        <w:t xml:space="preserve">passes about half the time</w:t>
      </w:r>
      <w:r>
        <w:t xml:space="preserve">. At N = 20, which is what the bin rule (Eq. 4) prescribes for</w:t>
      </w:r>
      <w:r>
        <w:t xml:space="preserve"> </w:t>
      </w:r>
      <w:r>
        <w:t xml:space="preserve">a 5 000-scenario reference, it never passes. The same pattern holds on synthetic normal</w:t>
      </w:r>
      <w:r>
        <w:t xml:space="preserve"> </w:t>
      </w:r>
      <w:r>
        <w:t xml:space="preserve">data, so it is a property of the procedure rather than of QUADRIS: at n_ref = 200, the size</w:t>
      </w:r>
      <w:r>
        <w:t xml:space="preserve"> </w:t>
      </w:r>
      <w:r>
        <w:t xml:space="preserve">in the paper’s own demonstration, the null pass rate is also 0%.</w:t>
      </w:r>
    </w:p>
    <w:p>
      <w:pPr>
        <w:pStyle w:val="BodyText"/>
      </w:pPr>
      <w:r>
        <w:t xml:space="preserve">This reframes our headline.</w:t>
      </w:r>
      <w:r>
        <w:t xml:space="preserve"> </w:t>
      </w:r>
      <w:r>
        <w:t xml:space="preserve">“Missing equivalence by a factor of 1.5”</w:t>
      </w:r>
      <w:r>
        <w:t xml:space="preserve"> </w:t>
      </w:r>
      <w:r>
        <w:t xml:space="preserve">sounds like a model</w:t>
      </w:r>
      <w:r>
        <w:t xml:space="preserve"> </w:t>
      </w:r>
      <w:r>
        <w:t xml:space="preserve">deficiency; a substantial part of it is that we are asking a 5 000-sample reference to</w:t>
      </w:r>
      <w:r>
        <w:t xml:space="preserve"> </w:t>
      </w:r>
      <w:r>
        <w:t xml:space="preserve">resolve a difference it barely has the resolution to see.</w:t>
      </w:r>
    </w:p>
    <w:bookmarkEnd w:id="11"/>
    <w:bookmarkStart w:id="12" w:name="Xa5c2e356c6acb960ada1c98003db17415406c73"/>
    <w:p>
      <w:pPr>
        <w:pStyle w:val="Heading3"/>
      </w:pPr>
      <w:r>
        <w:t xml:space="preserve">2.2 What effect size does θ = 0.10 correspond to?</w:t>
      </w:r>
    </w:p>
    <w:p>
      <w:pPr>
        <w:pStyle w:val="FirstParagraph"/>
      </w:pPr>
      <w:r>
        <w:t xml:space="preserve">For a roughly normal reference cut into five quantile bins, with the model differing only</w:t>
      </w:r>
      <w:r>
        <w:t xml:space="preserve"> </w:t>
      </w:r>
      <w:r>
        <w:t xml:space="preserve">by a shift in location: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shifted 0.02 SD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shifted 0.05 SD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shifted ~0.07 SD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the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shifted 0.10 SD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5% wider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10% wider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fails</w:t>
            </w:r>
          </w:p>
        </w:tc>
      </w:tr>
    </w:tbl>
    <w:p>
      <w:pPr>
        <w:pStyle w:val="BodyText"/>
      </w:pPr>
      <w:r>
        <w:t xml:space="preserve">So θ ≤ 0.10 asks the model to match the reference to within about</w:t>
      </w:r>
      <w:r>
        <w:t xml:space="preserve"> </w:t>
      </w:r>
      <w:r>
        <w:rPr>
          <w:b/>
          <w:bCs/>
        </w:rPr>
        <w:t xml:space="preserve">a fourteenth of a</w:t>
      </w:r>
      <w:r>
        <w:rPr>
          <w:b/>
          <w:bCs/>
        </w:rPr>
        <w:t xml:space="preserve"> </w:t>
      </w:r>
      <w:r>
        <w:rPr>
          <w:b/>
          <w:bCs/>
        </w:rPr>
        <w:t xml:space="preserve">standard deviation</w:t>
      </w:r>
      <w:r>
        <w:t xml:space="preserve">, or about 9% in spread. Cohen’s conventional</w:t>
      </w:r>
      <w:r>
        <w:t xml:space="preserve"> </w:t>
      </w:r>
      <w:r>
        <w:t xml:space="preserve">“small”</w:t>
      </w:r>
      <w:r>
        <w:t xml:space="preserve"> </w:t>
      </w:r>
      <w:r>
        <w:t xml:space="preserve">effect is 0.2 SD,</w:t>
      </w:r>
      <w:r>
        <w:t xml:space="preserve"> </w:t>
      </w:r>
      <w:r>
        <w:t xml:space="preserve">three times what this tolerates. Our θ = 0.148 corresponds to roughly a 0.10 SD</w:t>
      </w:r>
      <w:r>
        <w:t xml:space="preserve"> </w:t>
      </w:r>
      <w:r>
        <w:t xml:space="preserve">discrepancy, which in most of behavioral science would be reported as a good match.</w:t>
      </w:r>
    </w:p>
    <w:bookmarkEnd w:id="12"/>
    <w:bookmarkStart w:id="13" w:name="Xedded8da251106d5c0a3cc9c19cd02f1b8e8f72"/>
    <w:p>
      <w:pPr>
        <w:pStyle w:val="Heading3"/>
      </w:pPr>
      <w:r>
        <w:t xml:space="preserve">2.2b A defect in our own bootstrap, found 2026-08-26</w:t>
      </w:r>
    </w:p>
    <w:p>
      <w:pPr>
        <w:pStyle w:val="FirstParagraph"/>
      </w:pPr>
      <w:r>
        <w:t xml:space="preserve">Before the calibrations below can be read, one correction to our implementation. The</w:t>
      </w:r>
      <w:r>
        <w:t xml:space="preserve"> </w:t>
      </w:r>
      <w:r>
        <w:t xml:space="preserve">reference is weighted, and its weights are concentrated: the top 10% of scenarios carry 54%</w:t>
      </w:r>
      <w:r>
        <w:t xml:space="preserve"> </w:t>
      </w:r>
      <w:r>
        <w:t xml:space="preserve">of the total weight, so its</w:t>
      </w:r>
      <w:r>
        <w:t xml:space="preserve"> </w:t>
      </w:r>
      <w:r>
        <w:rPr>
          <w:b/>
          <w:bCs/>
        </w:rPr>
        <w:t xml:space="preserve">effective sample size is 950, not 5 000</w:t>
      </w:r>
      <w:r>
        <w:t xml:space="preserve"> </w:t>
      </w:r>
      <w:r>
        <w:t xml:space="preserve">(ESS = (Σw)²/Σw²).</w:t>
      </w:r>
    </w:p>
    <w:p>
      <w:pPr>
        <w:pStyle w:val="BodyText"/>
      </w:pPr>
      <w:r>
        <w:t xml:space="preserve">Our bootstrap drew reference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with probability proportional to weight and then</w:t>
      </w:r>
      <w:r>
        <w:t xml:space="preserve"> </w:t>
      </w:r>
      <w:r>
        <w:t xml:space="preserve">treated the resample as unweighted. That yields the precision of 5 000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draws</w:t>
      </w:r>
      <w:r>
        <w:t xml:space="preserve"> </w:t>
      </w:r>
      <w:r>
        <w:t xml:space="preserve">and therefore understates the spread by roughly √(n/ESS). The correct nonparametric</w:t>
      </w:r>
      <w:r>
        <w:t xml:space="preserve"> </w:t>
      </w:r>
      <w:r>
        <w:t xml:space="preserve">bootstrap for a weighted statistic resamples the</w:t>
      </w:r>
      <w:r>
        <w:t xml:space="preserve"> </w:t>
      </w:r>
      <w:r>
        <w:rPr>
          <w:b/>
          <w:bCs/>
        </w:rPr>
        <w:t xml:space="preserve">sampling units</w:t>
      </w:r>
      <w:r>
        <w:t xml:space="preserve"> </w:t>
      </w:r>
      <w:r>
        <w:t xml:space="preserve">uniformly and carries</w:t>
      </w:r>
      <w:r>
        <w:t xml:space="preserve"> </w:t>
      </w:r>
      <w:r>
        <w:t xml:space="preserve">their weights. Comparing the two on the actual QUADRIS severity distribution, for a model</w:t>
      </w:r>
      <w:r>
        <w:t xml:space="preserve"> </w:t>
      </w:r>
      <w:r>
        <w:t xml:space="preserve">that is exactly right: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median 95%-HDI upper</w:t>
            </w:r>
          </w:p>
        </w:tc>
        <w:tc>
          <w:tcPr/>
          <w:p>
            <w:pPr>
              <w:pStyle w:val="Compact"/>
            </w:pPr>
            <w:r>
              <w:t xml:space="preserve">passes θ ≤ 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resample values (what we did)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resample cases (correct)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resample values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resample cases</w:t>
            </w:r>
          </w:p>
        </w:tc>
        <w:tc>
          <w:tcPr/>
          <w:p>
            <w:pPr>
              <w:pStyle w:val="Compact"/>
            </w:pPr>
            <w:r>
              <w:t xml:space="preserve">0.290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resample values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resample cases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The correct scheme gives intervals roughly</w:t>
      </w:r>
      <w:r>
        <w:t xml:space="preserve"> </w:t>
      </w:r>
      <w:r>
        <w:rPr>
          <w:b/>
          <w:bCs/>
        </w:rPr>
        <w:t xml:space="preserve">2.4 times wider</w:t>
      </w:r>
      <w:r>
        <w:t xml:space="preserve">.</w:t>
      </w:r>
      <w:r>
        <w:t xml:space="preserve"> </w:t>
      </w:r>
      <w:r>
        <w:rPr>
          <w:rStyle w:val="VerbatimChar"/>
        </w:rPr>
        <w:t xml:space="preserve">equivalence_test</w:t>
      </w:r>
      <w:r>
        <w:t xml:space="preserve"> </w:t>
      </w:r>
      <w:r>
        <w:t xml:space="preserve">now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resample="cases"</w:t>
      </w:r>
      <w:r>
        <w:t xml:space="preserve">; the old behavior is retained as</w:t>
      </w:r>
      <w:r>
        <w:t xml:space="preserve"> </w:t>
      </w:r>
      <w:r>
        <w:rPr>
          <w:rStyle w:val="VerbatimChar"/>
        </w:rPr>
        <w:t xml:space="preserve">resample="values"</w:t>
      </w:r>
      <w:r>
        <w:t xml:space="preserve"> </w:t>
      </w:r>
      <w:r>
        <w:t xml:space="preserve">solely</w:t>
      </w:r>
      <w:r>
        <w:t xml:space="preserve"> </w:t>
      </w:r>
      <w:r>
        <w:t xml:space="preserve">to reproduce earlier numbers.</w:t>
      </w:r>
    </w:p>
    <w:p>
      <w:pPr>
        <w:pStyle w:val="BodyText"/>
      </w:pPr>
      <w:r>
        <w:rPr>
          <w:b/>
          <w:bCs/>
        </w:rPr>
        <w:t xml:space="preserve">What this changes and what it does not.</w:t>
      </w:r>
      <w:r>
        <w:t xml:space="preserve"> </w:t>
      </w:r>
      <w:r>
        <w:t xml:space="preserve">Point estimates of θ and Θ are unaffected, so</w:t>
      </w:r>
      <w:r>
        <w:t xml:space="preserve"> </w:t>
      </w:r>
      <w:r>
        <w:t xml:space="preserve">every comparison between conditions — the ordering that this study rests on — stands exactly</w:t>
      </w:r>
      <w:r>
        <w:t xml:space="preserve"> </w:t>
      </w:r>
      <w:r>
        <w:t xml:space="preserve">as reported. What changed is every HDI published before the fix: they were too narrow by</w:t>
      </w:r>
      <w:r>
        <w:t xml:space="preserve"> </w:t>
      </w:r>
      <w:r>
        <w:t xml:space="preserve">about a factor of two. The full-population outputs have since been regenerated.</w:t>
      </w:r>
    </w:p>
    <w:p>
      <w:pPr>
        <w:pStyle w:val="BodyText"/>
      </w:pPr>
      <w:r>
        <w:rPr>
          <w:b/>
          <w:bCs/>
        </w:rPr>
        <w:t xml:space="preserve">What it changed in the argument of this note</w:t>
      </w:r>
      <w:r>
        <w:t xml:space="preserve">: under the</w:t>
      </w:r>
      <w:r>
        <w:t xml:space="preserve"> </w:t>
      </w:r>
      <w:r>
        <w:rPr>
          <w:i/>
          <w:iCs/>
        </w:rPr>
        <w:t xml:space="preserve">sample</w:t>
      </w:r>
      <w:r>
        <w:t xml:space="preserve"> </w:t>
      </w:r>
      <w:r>
        <w:t xml:space="preserve">reading of the</w:t>
      </w:r>
      <w:r>
        <w:t xml:space="preserve"> </w:t>
      </w:r>
      <w:r>
        <w:t xml:space="preserve">reference, the noise floor is worse than section 2.1 reported — about</w:t>
      </w:r>
      <w:r>
        <w:t xml:space="preserve"> </w:t>
      </w:r>
      <w:r>
        <w:rPr>
          <w:b/>
          <w:bCs/>
        </w:rPr>
        <w:t xml:space="preserve">0.177</w:t>
      </w:r>
      <w:r>
        <w:t xml:space="preserve"> </w:t>
      </w:r>
      <w:r>
        <w:t xml:space="preserve">at N = 5</w:t>
      </w:r>
      <w:r>
        <w:t xml:space="preserve"> </w:t>
      </w:r>
      <w:r>
        <w:t xml:space="preserve">rather than 0.097 — which would put the ROPE not merely at the resolution limit of this</w:t>
      </w:r>
      <w:r>
        <w:t xml:space="preserve"> </w:t>
      </w:r>
      <w:r>
        <w:t xml:space="preserve">reference but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it. Section 2.5 resolves this by settling the reading rather than</w:t>
      </w:r>
      <w:r>
        <w:t xml:space="preserve"> </w:t>
      </w:r>
      <w:r>
        <w:t xml:space="preserve">by adjusting the threshold.</w:t>
      </w:r>
    </w:p>
    <w:bookmarkEnd w:id="13"/>
    <w:bookmarkStart w:id="14" w:name="what-is-the-uncertainty-actually-over"/>
    <w:p>
      <w:pPr>
        <w:pStyle w:val="Heading3"/>
      </w:pPr>
      <w:r>
        <w:t xml:space="preserve">2.3 What is the uncertainty actually over?</w:t>
      </w:r>
    </w:p>
    <w:p>
      <w:pPr>
        <w:pStyle w:val="FirstParagraph"/>
      </w:pPr>
      <w:r>
        <w:rPr>
          <w:i/>
          <w:iCs/>
        </w:rPr>
        <w:t xml:space="preserve">This section poses the question; §2.5 answers it and records the decision.</w:t>
      </w:r>
    </w:p>
    <w:p>
      <w:pPr>
        <w:pStyle w:val="BodyText"/>
      </w:pPr>
      <w:r>
        <w:t xml:space="preserve">The bootstrap can resample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sides, treating the QUADRIS 5 000 as a sample carrying</w:t>
      </w:r>
      <w:r>
        <w:t xml:space="preserve"> </w:t>
      </w:r>
      <w:r>
        <w:t xml:space="preserve">its own sampling error, or only the synthetic side, treating the reference as the target</w:t>
      </w:r>
      <w:r>
        <w:t xml:space="preserve"> </w:t>
      </w:r>
      <w:r>
        <w:t xml:space="preserve">population — it is a fixed published scenario set, and we compare against all of it. The</w:t>
      </w:r>
      <w:r>
        <w:t xml:space="preserve"> </w:t>
      </w:r>
      <w:r>
        <w:t xml:space="preserve">difference under the null, at N = 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carries uncertainty</w:t>
            </w:r>
          </w:p>
        </w:tc>
        <w:tc>
          <w:tcPr/>
          <w:p>
            <w:pPr>
              <w:pStyle w:val="Compact"/>
            </w:pPr>
            <w:r>
              <w:t xml:space="preserve">median θ under the null</w:t>
            </w:r>
          </w:p>
        </w:tc>
        <w:tc>
          <w:tcPr/>
          <w:p>
            <w:pPr>
              <w:pStyle w:val="Compact"/>
            </w:pPr>
            <w:r>
              <w:t xml:space="preserve">95% upper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resampled as a sample (cases)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fixed, synthetic side only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0.021</w:t>
            </w:r>
          </w:p>
        </w:tc>
      </w:tr>
    </w:tbl>
    <w:p>
      <w:pPr>
        <w:pStyle w:val="BodyText"/>
      </w:pPr>
      <w:r>
        <w:t xml:space="preserve">That single choice is worth roughly an order of magnitude in effective strictness, and it is</w:t>
      </w:r>
      <w:r>
        <w:t xml:space="preserve"> </w:t>
      </w:r>
      <w:r>
        <w:t xml:space="preserve">a modeling judgment rather than a statistical one. It is settled in §2.5.</w:t>
      </w:r>
    </w:p>
    <w:p>
      <w:pPr>
        <w:pStyle w:val="BodyText"/>
      </w:pPr>
      <w:r>
        <w:t xml:space="preserve">A related point: [W26] §2.1.3 computes θ and Θ on</w:t>
      </w:r>
      <w:r>
        <w:t xml:space="preserve"> </w:t>
      </w:r>
      <w:r>
        <w:rPr>
          <w:b/>
          <w:bCs/>
        </w:rPr>
        <w:t xml:space="preserve">posterior draws from fitted Bayesian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models</w:t>
      </w:r>
      <w:r>
        <w:t xml:space="preserve">, with leave-one-out model selection, not on a nonparametric</w:t>
      </w:r>
      <w:r>
        <w:t xml:space="preserve"> </w:t>
      </w:r>
      <w:r>
        <w:t xml:space="preserve">bootstrap. A parametric posterior borrows strength across the distribution and will be</w:t>
      </w:r>
      <w:r>
        <w:t xml:space="preserve"> </w:t>
      </w:r>
      <w:r>
        <w:t xml:space="preserve">materially tighter than our bootstrap. Our decision rule is therefore harsher than the</w:t>
      </w:r>
      <w:r>
        <w:t xml:space="preserve"> </w:t>
      </w:r>
      <w:r>
        <w:t xml:space="preserve">paper’s on the uncertainty side.</w:t>
      </w:r>
    </w:p>
    <w:bookmarkEnd w:id="14"/>
    <w:bookmarkStart w:id="15" w:name="Xa47c0bc5037a779bc9ae43ef5e5d1765ef82b5c"/>
    <w:p>
      <w:pPr>
        <w:pStyle w:val="Heading3"/>
      </w:pPr>
      <w:r>
        <w:t xml:space="preserve">2.4 The bin count we used was not the one the rule prescribes</w:t>
      </w:r>
    </w:p>
    <w:p>
      <w:pPr>
        <w:pStyle w:val="FirstParagraph"/>
      </w:pPr>
      <w:r>
        <w:t xml:space="preserve">Our full-population tables were produced with N = 5. That is the value Eq. 4 gives for a</w:t>
      </w:r>
      <w:r>
        <w:t xml:space="preserve"> </w:t>
      </w:r>
      <w:r>
        <w:t xml:space="preserve">100–200 scenario reference, which is the size the study had when the assessment code was</w:t>
      </w:r>
      <w:r>
        <w:t xml:space="preserve"> </w:t>
      </w:r>
      <w:r>
        <w:t xml:space="preserve">written, and it is the value used in the paper’s own demonstration (n_ref = 200). At the</w:t>
      </w:r>
      <w:r>
        <w:t xml:space="preserve"> </w:t>
      </w:r>
      <w:r>
        <w:t xml:space="preserve">full population Eq. 4 gives</w:t>
      </w:r>
      <w:r>
        <w:t xml:space="preserve"> </w:t>
      </w:r>
      <w:r>
        <w:rPr>
          <w:b/>
          <w:bCs/>
        </w:rPr>
        <w:t xml:space="preserve">N = min(⌊5000/40⌋, 20) = 20</w:t>
      </w:r>
      <w:r>
        <w:t xml:space="preserve">. Re-running the readout from</w:t>
      </w:r>
      <w:r>
        <w:t xml:space="preserve"> </w:t>
      </w:r>
      <w:r>
        <w:t xml:space="preserve">the stored condition-B outputs (</w:t>
      </w:r>
      <w:r>
        <w:rPr>
          <w:rStyle w:val="VerbatimChar"/>
        </w:rPr>
        <w:t xml:space="preserve">replication/causation/bin_sensitivity.py</w:t>
      </w:r>
      <w:r>
        <w:t xml:space="preserve">, no</w:t>
      </w:r>
      <w:r>
        <w:t xml:space="preserve"> </w:t>
      </w:r>
      <w:r>
        <w:t xml:space="preserve">re-simulation needed):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B, N=5</w:t>
            </w:r>
          </w:p>
        </w:tc>
        <w:tc>
          <w:tcPr/>
          <w:p>
            <w:pPr>
              <w:pStyle w:val="Compact"/>
            </w:pPr>
            <w:r>
              <w:t xml:space="preserve">B, N=10</w:t>
            </w:r>
          </w:p>
        </w:tc>
        <w:tc>
          <w:tcPr/>
          <w:p>
            <w:pPr>
              <w:pStyle w:val="Compact"/>
            </w:pPr>
            <w:r>
              <w:t xml:space="preserve">B, N=20</w:t>
            </w:r>
          </w:p>
        </w:tc>
        <w:tc>
          <w:tcPr/>
          <w:p>
            <w:pPr>
              <w:pStyle w:val="Compact"/>
            </w:pPr>
            <w:r>
              <w:t xml:space="preserve">C, N=5</w:t>
            </w:r>
          </w:p>
        </w:tc>
        <w:tc>
          <w:tcPr/>
          <w:p>
            <w:pPr>
              <w:pStyle w:val="Compact"/>
            </w:pPr>
            <w:r>
              <w:t xml:space="preserve">C, N=10</w:t>
            </w:r>
          </w:p>
        </w:tc>
        <w:tc>
          <w:tcPr/>
          <w:p>
            <w:pPr>
              <w:pStyle w:val="Compact"/>
            </w:pPr>
            <w:r>
              <w:t xml:space="preserve">C, N=20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(P_inj = v_rel) θ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Θ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t_nr θ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a_l,min θ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0.254</w:t>
            </w:r>
          </w:p>
        </w:tc>
        <w:tc>
          <w:tcPr/>
          <w:p>
            <w:pPr>
              <w:pStyle w:val="Compact"/>
            </w:pPr>
            <w:r>
              <w:t xml:space="preserve">0.254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a_f,min θ</w:t>
            </w:r>
          </w:p>
        </w:tc>
        <w:tc>
          <w:tcPr/>
          <w:p>
            <w:pPr>
              <w:pStyle w:val="Compact"/>
            </w:pPr>
            <w:r>
              <w:t xml:space="preserve">1.058</w:t>
            </w:r>
          </w:p>
        </w:tc>
        <w:tc>
          <w:tcPr/>
          <w:p>
            <w:pPr>
              <w:pStyle w:val="Compact"/>
            </w:pPr>
            <w:r>
              <w:t xml:space="preserve">3.983</w:t>
            </w:r>
          </w:p>
        </w:tc>
        <w:tc>
          <w:tcPr/>
          <w:p>
            <w:pPr>
              <w:pStyle w:val="Compact"/>
            </w:pPr>
            <w:r>
              <w:t xml:space="preserve">3.983</w:t>
            </w:r>
          </w:p>
        </w:tc>
        <w:tc>
          <w:tcPr/>
          <w:p>
            <w:pPr>
              <w:pStyle w:val="Compact"/>
            </w:pPr>
            <w:r>
              <w:t xml:space="preserve">1.380</w:t>
            </w:r>
          </w:p>
        </w:tc>
        <w:tc>
          <w:tcPr/>
          <w:p>
            <w:pPr>
              <w:pStyle w:val="Compact"/>
            </w:pPr>
            <w:r>
              <w:t xml:space="preserve">2.165</w:t>
            </w:r>
          </w:p>
        </w:tc>
        <w:tc>
          <w:tcPr/>
          <w:p>
            <w:pPr>
              <w:pStyle w:val="Compact"/>
            </w:pPr>
            <w:r>
              <w:t xml:space="preserve">4.456</w:t>
            </w:r>
          </w:p>
        </w:tc>
      </w:tr>
    </w:tbl>
    <w:p>
      <w:pPr>
        <w:pStyle w:val="BodyText"/>
      </w:pPr>
      <w:r>
        <w:t xml:space="preserve">Reassuringly,</w:t>
      </w:r>
      <w:r>
        <w:t xml:space="preserve"> </w:t>
      </w:r>
      <w:r>
        <w:rPr>
          <w:b/>
          <w:bCs/>
        </w:rPr>
        <w:t xml:space="preserve">the comparison our study rests on survives</w:t>
      </w:r>
      <w:r>
        <w:t xml:space="preserve">: the active-inference condition</w:t>
      </w:r>
      <w:r>
        <w:t xml:space="preserve"> </w:t>
      </w:r>
      <w:r>
        <w:t xml:space="preserve">is closer to the reference than the CBM control on severity at every bin count, and on the</w:t>
      </w:r>
      <w:r>
        <w:t xml:space="preserve"> </w:t>
      </w:r>
      <w:r>
        <w:t xml:space="preserve">braking distribution at every bin count. At N = 10 and N = 20 the two conditions’ HDIs</w:t>
      </w:r>
      <w:r>
        <w:t xml:space="preserve"> </w:t>
      </w:r>
      <w:r>
        <w:t xml:space="preserve">overlap substantially, so the ordering holds in point estimates without being statistically</w:t>
      </w:r>
      <w:r>
        <w:t xml:space="preserve"> </w:t>
      </w:r>
      <w:r>
        <w:t xml:space="preserve">separated there.</w:t>
      </w:r>
    </w:p>
    <w:p>
      <w:pPr>
        <w:pStyle w:val="BodyText"/>
      </w:pPr>
      <w:r>
        <w:t xml:space="preserve">Two things follow. First, our reported numbers are indeed on the lenient side of the</w:t>
      </w:r>
      <w:r>
        <w:t xml:space="preserve"> </w:t>
      </w:r>
      <w:r>
        <w:t xml:space="preserve">paper’s own prescription: severity θ nearly doubles at the prescribed bin count. Second,</w:t>
      </w:r>
      <w:r>
        <w:t xml:space="preserve"> </w:t>
      </w:r>
      <w:r>
        <w:t xml:space="preserve">and more importantly,</w:t>
      </w:r>
      <w:r>
        <w:t xml:space="preserve"> </w:t>
      </w:r>
      <w:r>
        <w:rPr>
          <w:b/>
          <w:bCs/>
        </w:rPr>
        <w:t xml:space="preserve">N = 20 is prescribed but unusable at this reference size</w:t>
      </w:r>
      <w:r>
        <w:t xml:space="preserve"> </w:t>
      </w:r>
      <w:r>
        <w:t xml:space="preserve">— the</w:t>
      </w:r>
      <w:r>
        <w:t xml:space="preserve"> </w:t>
      </w:r>
      <w:r>
        <w:t xml:space="preserve">null calibration above gives a perfect model median θ = 0.129 with an HDI upper bound of</w:t>
      </w:r>
      <w:r>
        <w:t xml:space="preserve"> </w:t>
      </w:r>
      <w:r>
        <w:t xml:space="preserve">0.266 at N = 20, so nothing can pass a ROPE of 0.10 there. The bin rule and the ROPE</w:t>
      </w:r>
      <w:r>
        <w:t xml:space="preserve"> </w:t>
      </w:r>
      <w:r>
        <w:t xml:space="preserve">threshold are jointly infeasible at n_ref = 5 000 under our decision rule. My reading is</w:t>
      </w:r>
      <w:r>
        <w:t xml:space="preserve"> </w:t>
      </w:r>
      <w:r>
        <w:t xml:space="preserve">that this is an argument for fixing the decision rule (section 5), not for adopting N = 20</w:t>
      </w:r>
      <w:r>
        <w:t xml:space="preserve"> </w:t>
      </w:r>
      <w:r>
        <w:t xml:space="preserve">and reporting a failure that the procedure guarantees in advance.</w:t>
      </w:r>
    </w:p>
    <w:p>
      <w:pPr>
        <w:pStyle w:val="BodyText"/>
      </w:pPr>
      <w:r>
        <w:t xml:space="preserve">Two corrections to things I assumed before running this.</w:t>
      </w:r>
      <w:r>
        <w:t xml:space="preserve"> </w:t>
      </w:r>
      <w:r>
        <w:rPr>
          <w:b/>
          <w:bCs/>
        </w:rPr>
        <w:t xml:space="preserve">Θ is not bin-count invariant.</w:t>
      </w:r>
      <w:r>
        <w:t xml:space="preserve"> </w:t>
      </w:r>
      <w:r>
        <w:t xml:space="preserve">It is a lower bound on twice the total-variation distance that becomes exact only as the</w:t>
      </w:r>
      <w:r>
        <w:t xml:space="preserve"> </w:t>
      </w:r>
      <w:r>
        <w:t xml:space="preserve">partition is refined, so it grows with N (0.091 → 0.165 for severity).</w:t>
      </w:r>
      <w:r>
        <w:t xml:space="preserve"> </w:t>
      </w:r>
      <w:r>
        <w:rPr>
          <w:b/>
          <w:bCs/>
        </w:rPr>
        <w:t xml:space="preserve">θ is biased upward</w:t>
      </w:r>
      <w:r>
        <w:rPr>
          <w:b/>
          <w:bCs/>
        </w:rPr>
        <w:t xml:space="preserve"> </w:t>
      </w:r>
      <w:r>
        <w:rPr>
          <w:b/>
          <w:bCs/>
        </w:rPr>
        <w:t xml:space="preserve">under resampling</w:t>
      </w:r>
      <w:r>
        <w:t xml:space="preserve">, because it is a maximum over bins: at N = 20 the bootstrap HDI</w:t>
      </w:r>
      <w:r>
        <w:t xml:space="preserve"> </w:t>
      </w:r>
      <w:r>
        <w:t xml:space="preserve">[0.282, 0.554] does not even contain the point estimate 0.275. The bias grows with N, which</w:t>
      </w:r>
      <w:r>
        <w:t xml:space="preserve"> </w:t>
      </w:r>
      <w:r>
        <w:t xml:space="preserve">makes the</w:t>
      </w:r>
      <w:r>
        <w:t xml:space="preserve"> </w:t>
      </w:r>
      <w:r>
        <w:t xml:space="preserve">“HDI upper bound inside the ROPE”</w:t>
      </w:r>
      <w:r>
        <w:t xml:space="preserve"> </w:t>
      </w:r>
      <w:r>
        <w:t xml:space="preserve">rule doubly conservative at fine bin counts.</w:t>
      </w:r>
    </w:p>
    <w:bookmarkEnd w:id="15"/>
    <w:bookmarkStart w:id="16" w:name="Xb57fe7e5b130358c743a5e0c08738265cca620a"/>
    <w:p>
      <w:pPr>
        <w:pStyle w:val="Heading3"/>
      </w:pPr>
      <w:r>
        <w:t xml:space="preserve">2.5 What the reference represents — the choice, and our decision</w:t>
      </w:r>
    </w:p>
    <w:p>
      <w:pPr>
        <w:pStyle w:val="FirstParagraph"/>
      </w:pPr>
      <w:r>
        <w:t xml:space="preserve">Sections 2.2b and 2.3 leave a question that has to be answered before any interval means</w:t>
      </w:r>
      <w:r>
        <w:t xml:space="preserve"> </w:t>
      </w:r>
      <w:r>
        <w:t xml:space="preserve">anything:</w:t>
      </w:r>
      <w:r>
        <w:t xml:space="preserve"> </w:t>
      </w:r>
      <w:r>
        <w:rPr>
          <w:b/>
          <w:bCs/>
        </w:rPr>
        <w:t xml:space="preserve">are the 5 000 QUADRIS scenarios the target set, or a sample from something</w:t>
      </w:r>
      <w:r>
        <w:rPr>
          <w:b/>
          <w:bCs/>
        </w:rPr>
        <w:t xml:space="preserve"> </w:t>
      </w:r>
      <w:r>
        <w:rPr>
          <w:b/>
          <w:bCs/>
        </w:rPr>
        <w:t xml:space="preserve">larger?</w:t>
      </w:r>
      <w:r>
        <w:t xml:space="preserve"> </w:t>
      </w:r>
      <w:r>
        <w:t xml:space="preserve">The two readings are both defensible, they are not a statistical question, and</w:t>
      </w:r>
      <w:r>
        <w:t xml:space="preserve"> </w:t>
      </w:r>
      <w:r>
        <w:t xml:space="preserve">they differ by an order of magnitude in the resulting intervals.</w:t>
      </w:r>
    </w:p>
    <w:p>
      <w:pPr>
        <w:pStyle w:val="BodyText"/>
      </w:pPr>
      <w:r>
        <w:rPr>
          <w:b/>
          <w:bCs/>
        </w:rPr>
        <w:t xml:space="preserve">Reading A — the reference is the target population.</w:t>
      </w:r>
      <w:r>
        <w:t xml:space="preserve"> </w:t>
      </w:r>
      <w:r>
        <w:t xml:space="preserve">The comparison asks what a given</w:t>
      </w:r>
      <w:r>
        <w:t xml:space="preserve"> </w:t>
      </w:r>
      <w:r>
        <w:t xml:space="preserve">driver model does</w:t>
      </w:r>
      <w:r>
        <w:t xml:space="preserve"> </w:t>
      </w:r>
      <w:r>
        <w:rPr>
          <w:i/>
          <w:iCs/>
        </w:rPr>
        <w:t xml:space="preserve">in these scenarios</w:t>
      </w:r>
      <w:r>
        <w:t xml:space="preserve">. QUADRIS is a fixed, published scenario set; it is</w:t>
      </w:r>
      <w:r>
        <w:t xml:space="preserve"> </w:t>
      </w:r>
      <w:r>
        <w:t xml:space="preserve">the definition of the ensemble, in the same way that a benchmark test suite is not a sample</w:t>
      </w:r>
      <w:r>
        <w:t xml:space="preserve"> </w:t>
      </w:r>
      <w:r>
        <w:t xml:space="preserve">of possible tests. Under this reading the bin edges and reference proportions are fixed</w:t>
      </w:r>
      <w:r>
        <w:t xml:space="preserve"> </w:t>
      </w:r>
      <w:r>
        <w:t xml:space="preserve">constants, and the only sampling error is on the synthetic side, where n is 100 000 or more.</w:t>
      </w:r>
    </w:p>
    <w:p>
      <w:pPr>
        <w:pStyle w:val="BodyText"/>
      </w:pPr>
      <w:r>
        <w:rPr>
          <w:b/>
          <w:bCs/>
        </w:rPr>
        <w:t xml:space="preserve">Reading B — the reference is a sample.</w:t>
      </w:r>
      <w:r>
        <w:t xml:space="preserve"> </w:t>
      </w:r>
      <w:r>
        <w:t xml:space="preserve">QUADRIS is itself synthetic, drawn from</w:t>
      </w:r>
      <w:r>
        <w:t xml:space="preserve"> </w:t>
      </w:r>
      <w:r>
        <w:t xml:space="preserve">multivariate models fitted to SHRP2 and CISS. If the claim is about rear-end conflicts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the fleet those models represent</w:t>
      </w:r>
      <w:r>
        <w:t xml:space="preserve">, then a different draw from the generator would give a</w:t>
      </w:r>
      <w:r>
        <w:t xml:space="preserve"> </w:t>
      </w:r>
      <w:r>
        <w:t xml:space="preserve">different reference, and that variability belongs in the interval.</w:t>
      </w:r>
    </w:p>
    <w:p>
      <w:pPr>
        <w:pStyle w:val="BodyText"/>
      </w:pPr>
      <w:r>
        <w:t xml:space="preserve">The consequences, for a model that is exactly right, at N = 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reading</w:t>
            </w:r>
          </w:p>
        </w:tc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95% HDI upper for θ</w:t>
            </w:r>
          </w:p>
        </w:tc>
        <w:tc>
          <w:tcPr/>
          <w:p>
            <w:pPr>
              <w:pStyle w:val="Compact"/>
            </w:pPr>
            <w:r>
              <w:t xml:space="preserve">is a ROPE of 0.10 usable?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population</w:t>
            </w:r>
          </w:p>
        </w:tc>
        <w:tc>
          <w:tcPr/>
          <w:p>
            <w:pPr>
              <w:pStyle w:val="Compact"/>
            </w:pPr>
            <w:r>
              <w:t xml:space="preserve">resample synthetic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yes, comfortably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sample</w:t>
            </w:r>
          </w:p>
        </w:tc>
        <w:tc>
          <w:tcPr/>
          <w:p>
            <w:pPr>
              <w:pStyle w:val="Compact"/>
            </w:pPr>
            <w:r>
              <w:t xml:space="preserve">resample reference cases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no — below the noise floor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decision, taken 2026-08-26: reading A, and the code now defaults to it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resample="population"</w:t>
      </w:r>
      <w:r>
        <w:t xml:space="preserve">). The reasoning is that it matches the claim we actually make. This</w:t>
      </w:r>
      <w:r>
        <w:t xml:space="preserve"> </w:t>
      </w:r>
      <w:r>
        <w:t xml:space="preserve">study compares two response processes on a shared conditioned ensemble; every condition</w:t>
      </w:r>
      <w:r>
        <w:t xml:space="preserve"> </w:t>
      </w:r>
      <w:r>
        <w:t xml:space="preserve">faces the identical 5 000 scenarios, and the conclusion is about the models, not about the</w:t>
      </w:r>
      <w:r>
        <w:t xml:space="preserve"> </w:t>
      </w:r>
      <w:r>
        <w:t xml:space="preserve">fleet. Adding the generator’s sampling variability would inflate every interval with a</w:t>
      </w:r>
      <w:r>
        <w:t xml:space="preserve"> </w:t>
      </w:r>
      <w:r>
        <w:t xml:space="preserve">quantity that is common to both conditions and therefore cancels in the comparison that</w:t>
      </w:r>
      <w:r>
        <w:t xml:space="preserve"> </w:t>
      </w:r>
      <w:r>
        <w:t xml:space="preserve">matters. Further, we do not have the generator, so reading B could only ever be approximated</w:t>
      </w:r>
      <w:r>
        <w:t xml:space="preserve"> </w:t>
      </w:r>
      <w:r>
        <w:t xml:space="preserve">by a bootstrap of the delivered set — which is exactly the approximation that turned out to</w:t>
      </w:r>
      <w:r>
        <w:t xml:space="preserve"> </w:t>
      </w:r>
      <w:r>
        <w:t xml:space="preserve">be so wide.</w:t>
      </w:r>
    </w:p>
    <w:p>
      <w:pPr>
        <w:pStyle w:val="BodyText"/>
      </w:pPr>
      <w:r>
        <w:rPr>
          <w:b/>
          <w:bCs/>
        </w:rPr>
        <w:t xml:space="preserve">The condition attached to that decision.</w:t>
      </w:r>
      <w:r>
        <w:t xml:space="preserve"> </w:t>
      </w:r>
      <w:r>
        <w:t xml:space="preserve">Reading A licenses statements of the form</w:t>
      </w:r>
      <w:r>
        <w:t xml:space="preserve"> </w:t>
      </w:r>
      <w:r>
        <w:t xml:space="preserve">“on</w:t>
      </w:r>
      <w:r>
        <w:t xml:space="preserve"> </w:t>
      </w:r>
      <w:r>
        <w:t xml:space="preserve">the QUADRIS ensemble, condition B is closer to the reference than condition C”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license</w:t>
      </w:r>
      <w:r>
        <w:t xml:space="preserve"> </w:t>
      </w:r>
      <w:r>
        <w:t xml:space="preserve">“the active-inference driver reproduces rear-end crash severity in US</w:t>
      </w:r>
      <w:r>
        <w:t xml:space="preserve"> </w:t>
      </w:r>
      <w:r>
        <w:t xml:space="preserve">traffic”</w:t>
      </w:r>
      <w:r>
        <w:t xml:space="preserve">. Any claim that generalizes past the scenario set requires reading B and the wider</w:t>
      </w:r>
      <w:r>
        <w:t xml:space="preserve"> </w:t>
      </w:r>
      <w:r>
        <w:t xml:space="preserve">intervals that come with it — and, per section 7 and the results document’s own exposure</w:t>
      </w:r>
      <w:r>
        <w:t xml:space="preserve"> </w:t>
      </w:r>
      <w:r>
        <w:t xml:space="preserve">analysis, such a claim is already out of reach on crash-conditioned seeds for other reasons.</w:t>
      </w:r>
      <w:r>
        <w:t xml:space="preserve"> </w:t>
      </w:r>
      <w:r>
        <w:t xml:space="preserve">The practical rule we will follow:</w:t>
      </w:r>
      <w:r>
        <w:t xml:space="preserve"> </w:t>
      </w:r>
      <w:r>
        <w:rPr>
          <w:b/>
          <w:bCs/>
        </w:rPr>
        <w:t xml:space="preserve">report under reading A, and state the ensemble in the</w:t>
      </w:r>
      <w:r>
        <w:rPr>
          <w:b/>
          <w:bCs/>
        </w:rPr>
        <w:t xml:space="preserve"> </w:t>
      </w:r>
      <w:r>
        <w:rPr>
          <w:b/>
          <w:bCs/>
        </w:rPr>
        <w:t xml:space="preserve">sentence making the claim.</w:t>
      </w:r>
    </w:p>
    <w:bookmarkEnd w:id="16"/>
    <w:bookmarkStart w:id="17" w:name="X2990c8db697e89be273c29327bb3d1aeb9772aa"/>
    <w:p>
      <w:pPr>
        <w:pStyle w:val="Heading3"/>
      </w:pPr>
      <w:r>
        <w:t xml:space="preserve">2.6 When the noise floor exceeds what you would otherwise accept</w:t>
      </w:r>
    </w:p>
    <w:p>
      <w:pPr>
        <w:pStyle w:val="FirstParagraph"/>
      </w:pPr>
      <w:r>
        <w:t xml:space="preserve">Jonas raised the general problem, and it deserves a stated position rather than a</w:t>
      </w:r>
      <w:r>
        <w:t xml:space="preserve"> </w:t>
      </w:r>
      <w:r>
        <w:t xml:space="preserve">case-by-case fudge. Suppose the tolerance you would accept on scientific grounds implies a</w:t>
      </w:r>
      <w:r>
        <w:t xml:space="preserve"> </w:t>
      </w:r>
      <w:r>
        <w:t xml:space="preserve">threshold that sits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noise floor of your test. Two responses are wrong. Lowering</w:t>
      </w:r>
      <w:r>
        <w:t xml:space="preserve"> </w:t>
      </w:r>
      <w:r>
        <w:t xml:space="preserve">the threshold to the derived value and reporting failure blames the model for the</w:t>
      </w:r>
      <w:r>
        <w:t xml:space="preserve"> </w:t>
      </w:r>
      <w:r>
        <w:t xml:space="preserve">instrument. Silently raising it to clear the noise abandons the decision-theoretic basis</w:t>
      </w:r>
      <w:r>
        <w:t xml:space="preserve"> </w:t>
      </w:r>
      <w:r>
        <w:t xml:space="preserve">that made the threshold meaningful.</w:t>
      </w:r>
    </w:p>
    <w:p>
      <w:pPr>
        <w:pStyle w:val="BodyText"/>
      </w:pPr>
      <w:r>
        <w:t xml:space="preserve">The defensible response has three parts, and the order matters: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 the noise floor as a property of the study</w:t>
      </w:r>
      <w:r>
        <w:t xml:space="preserve">, alongside the threshold. A reader</w:t>
      </w:r>
      <w:r>
        <w:t xml:space="preserve"> </w:t>
      </w:r>
      <w:r>
        <w:t xml:space="preserve">cannot interpret a verdict without knowing the resolution of the test that produced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Try to lower the floor before raising the threshold.</w:t>
      </w:r>
      <w:r>
        <w:t xml:space="preserve"> </w:t>
      </w:r>
      <w:r>
        <w:t xml:space="preserve">The floor is not fixed: it falls</w:t>
      </w:r>
      <w:r>
        <w:t xml:space="preserve"> </w:t>
      </w:r>
      <w:r>
        <w:t xml:space="preserve">with a coarser partition, with a correct treatment of what the reference represents</w:t>
      </w:r>
      <w:r>
        <w:t xml:space="preserve"> </w:t>
      </w:r>
      <w:r>
        <w:t xml:space="preserve">(section 2.5), with a parametric rather than nonparametric posterior, and with more</w:t>
      </w:r>
      <w:r>
        <w:t xml:space="preserve"> </w:t>
      </w:r>
      <w:r>
        <w:t xml:space="preserve">effective data. Exhaust these first, because each is a genuine improvement in the test,</w:t>
      </w:r>
      <w:r>
        <w:t xml:space="preserve"> </w:t>
      </w:r>
      <w:r>
        <w:t xml:space="preserve">whereas inflating the threshold is a concession.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the floor still exceeds the derived threshold, raise the threshold to the floor and</w:t>
      </w:r>
      <w:r>
        <w:rPr>
          <w:b/>
          <w:bCs/>
        </w:rPr>
        <w:t xml:space="preserve"> </w:t>
      </w:r>
      <w:r>
        <w:rPr>
          <w:b/>
          <w:bCs/>
        </w:rPr>
        <w:t xml:space="preserve">say so explicitly</w:t>
      </w:r>
      <w:r>
        <w:t xml:space="preserve"> </w:t>
      </w:r>
      <w:r>
        <w:t xml:space="preserve">— reporting both numbers, and stating that the study cannot resolve</w:t>
      </w:r>
      <w:r>
        <w:t xml:space="preserve"> </w:t>
      </w:r>
      <w:r>
        <w:t xml:space="preserve">differences finer than the floor. That is an honest limitation, and it reframes the</w:t>
      </w:r>
      <w:r>
        <w:t xml:space="preserve"> </w:t>
      </w:r>
      <w:r>
        <w:t xml:space="preserve">conclusion correctly: not</w:t>
      </w:r>
      <w:r>
        <w:t xml:space="preserve"> </w:t>
      </w:r>
      <w:r>
        <w:t xml:space="preserve">“the model is equivalent”</w:t>
      </w:r>
      <w:r>
        <w:t xml:space="preserve"> </w:t>
      </w:r>
      <w:r>
        <w:t xml:space="preserve">but</w:t>
      </w:r>
      <w:r>
        <w:t xml:space="preserve"> </w:t>
      </w:r>
      <w:r>
        <w:t xml:space="preserve">“the model is equivalent to</w:t>
      </w:r>
      <w:r>
        <w:t xml:space="preserve"> </w:t>
      </w:r>
      <w:r>
        <w:t xml:space="preserve">within what this reference can resolve, which is X”</w:t>
      </w:r>
      <w:r>
        <w:t xml:space="preserve">.</w:t>
      </w:r>
    </w:p>
    <w:p>
      <w:pPr>
        <w:pStyle w:val="FirstParagraph"/>
      </w:pPr>
      <w:r>
        <w:t xml:space="preserve">The general point Jonas makes is right and worth keeping:</w:t>
      </w:r>
      <w:r>
        <w:t xml:space="preserve"> </w:t>
      </w:r>
      <w:r>
        <w:rPr>
          <w:b/>
          <w:bCs/>
        </w:rPr>
        <w:t xml:space="preserve">when the noise floor and the</w:t>
      </w:r>
      <w:r>
        <w:rPr>
          <w:b/>
          <w:bCs/>
        </w:rPr>
        <w:t xml:space="preserve"> </w:t>
      </w:r>
      <w:r>
        <w:rPr>
          <w:b/>
          <w:bCs/>
        </w:rPr>
        <w:t xml:space="preserve">acceptable tolerance are comparable, the tolerance itself has to be revisited.</w:t>
      </w:r>
      <w:r>
        <w:t xml:space="preserve"> </w:t>
      </w:r>
      <w:r>
        <w:t xml:space="preserve">A tolerance</w:t>
      </w:r>
      <w:r>
        <w:t xml:space="preserve"> </w:t>
      </w:r>
      <w:r>
        <w:t xml:space="preserve">is a claim about what difference would change a decision; if the study cannot see</w:t>
      </w:r>
      <w:r>
        <w:t xml:space="preserve"> </w:t>
      </w:r>
      <w:r>
        <w:t xml:space="preserve">differences that small, then either the decision needs a better study or the tolerance was</w:t>
      </w:r>
      <w:r>
        <w:t xml:space="preserve"> </w:t>
      </w:r>
      <w:r>
        <w:t xml:space="preserve">finer than the question warranted.</w:t>
      </w:r>
    </w:p>
    <w:p>
      <w:pPr>
        <w:pStyle w:val="BodyText"/>
      </w:pPr>
      <w:r>
        <w:rPr>
          <w:b/>
          <w:bCs/>
        </w:rPr>
        <w:t xml:space="preserve">For this study, the problem dissolves rather than binds.</w:t>
      </w:r>
      <w:r>
        <w:t xml:space="preserve"> </w:t>
      </w:r>
      <w:r>
        <w:t xml:space="preserve">Adopting reading A puts the</w:t>
      </w:r>
      <w:r>
        <w:t xml:space="preserve"> </w:t>
      </w:r>
      <w:r>
        <w:t xml:space="preserve">noise floor at about 0.021, well below every candidate threshold — Wu’s 0.10, our 5%-derived</w:t>
      </w:r>
      <w:r>
        <w:t xml:space="preserve"> </w:t>
      </w:r>
      <w:r>
        <w:t xml:space="preserve">0.094, and our 10%-derived 0.188. No inflation is needed, and the verdicts become real</w:t>
      </w:r>
      <w:r>
        <w:t xml:space="preserve"> </w:t>
      </w:r>
      <w:r>
        <w:t xml:space="preserve">statements about the model rather than about the instrument. The principle above is recorded</w:t>
      </w:r>
      <w:r>
        <w:t xml:space="preserve"> </w:t>
      </w:r>
      <w:r>
        <w:t xml:space="preserve">because it will bind in some future comparison, not because it binds here.</w:t>
      </w:r>
    </w:p>
    <w:bookmarkEnd w:id="17"/>
    <w:bookmarkEnd w:id="18"/>
    <w:bookmarkStart w:id="21" w:name="X4122241761cb10c9a8dd2dc5ed7fd0a232f9eca"/>
    <w:p>
      <w:pPr>
        <w:pStyle w:val="Heading2"/>
      </w:pPr>
      <w:r>
        <w:t xml:space="preserve">3 Deriving the thresholds from a stated accuracy requirement</w:t>
      </w:r>
    </w:p>
    <w:p>
      <w:pPr>
        <w:pStyle w:val="FirstParagraph"/>
      </w:pPr>
      <w:r>
        <w:t xml:space="preserve">Both statistics can be tied to a decision requirement instead of being inherited, which</w:t>
      </w:r>
      <w:r>
        <w:t xml:space="preserve"> </w:t>
      </w:r>
      <w:r>
        <w:t xml:space="preserve">seems to me the more defensible route now that we know the inherited values sit at the</w:t>
      </w:r>
      <w:r>
        <w:t xml:space="preserve"> </w:t>
      </w:r>
      <w:r>
        <w:t xml:space="preserve">noise floor.</w:t>
      </w:r>
    </w:p>
    <w:bookmarkStart w:id="19" w:name="the-bound"/>
    <w:p>
      <w:pPr>
        <w:pStyle w:val="Heading3"/>
      </w:pPr>
      <w:r>
        <w:t xml:space="preserve">3.1 The bound</w:t>
      </w:r>
    </w:p>
    <w:p>
      <w:pPr>
        <w:pStyle w:val="FirstParagraph"/>
      </w:pPr>
      <w:r>
        <w:t xml:space="preserve">For any quantity evaluated per bin, the error in its weighted aggregate satisfies</w:t>
      </w:r>
    </w:p>
    <w:p>
      <w:pPr>
        <w:pStyle w:val="BlockText"/>
      </w:pPr>
      <w:r>
        <w:t xml:space="preserve">|E_syn[f] − E_ref[f]| = |Σ ΔP_i f_i| = |Σ ΔP_i (f_i − c)| ≤ Θ · max_i|f_i − c|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|Δ aggregate| ≤ Θ × (half-range of the bin means)</w:t>
      </w:r>
      <w:r>
        <w:t xml:space="preserve">. The analogous bound for θ comes</w:t>
      </w:r>
      <w:r>
        <w:t xml:space="preserve"> </w:t>
      </w:r>
      <w:r>
        <w:t xml:space="preserve">from maximizing Σ ΔP_i f_i subject to |ΔP_i| ≤ θ·P_ref,i and Σ ΔP_i = 0, which is a small</w:t>
      </w:r>
      <w:r>
        <w:t xml:space="preserve"> </w:t>
      </w:r>
      <w:r>
        <w:t xml:space="preserve">transport problem: push the permitted mass out of the lowest-risk bins and into the</w:t>
      </w:r>
      <w:r>
        <w:t xml:space="preserve"> </w:t>
      </w:r>
      <w:r>
        <w:t xml:space="preserve">highest-risk ones.</w:t>
      </w:r>
    </w:p>
    <w:p>
      <w:pPr>
        <w:pStyle w:val="BodyText"/>
      </w:pPr>
      <w:r>
        <w:t xml:space="preserve">For our reference at N = 5 the per-bin mean injury risks are</w:t>
      </w:r>
      <w:r>
        <w:t xml:space="preserve"> </w:t>
      </w:r>
      <w:r>
        <w:t xml:space="preserve">[0.00238, 0.00294, 0.00374, 0.00553, 0.01615] with overall mean P_inj = 0.00615, giving a</w:t>
      </w:r>
      <w:r>
        <w:t xml:space="preserve"> </w:t>
      </w:r>
      <w:r>
        <w:t xml:space="preserve">half-range of 0.00689 and a worst-case transport coefficient of 0.003271: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on the injury-weighted mean</w:t>
            </w:r>
          </w:p>
        </w:tc>
        <w:tc>
          <w:tcPr/>
          <w:p>
            <w:pPr>
              <w:pStyle w:val="Compact"/>
            </w:pPr>
            <w:r>
              <w:t xml:space="preserve">implied Θ</w:t>
            </w:r>
          </w:p>
        </w:tc>
        <w:tc>
          <w:tcPr/>
          <w:p>
            <w:pPr>
              <w:pStyle w:val="Compact"/>
            </w:pPr>
            <w:r>
              <w:t xml:space="preserve">implied 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2%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5%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8%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0.188</w:t>
            </w:r>
          </w:p>
        </w:tc>
      </w:tr>
    </w:tbl>
    <w:p>
      <w:pPr>
        <w:pStyle w:val="BodyText"/>
      </w:pPr>
      <w:r>
        <w:t xml:space="preserve">Two things are worth noticing. Wu’s published pair (0.10, 0.05) is close to the pair our</w:t>
      </w:r>
      <w:r>
        <w:t xml:space="preserve"> </w:t>
      </w:r>
      <w:r>
        <w:t xml:space="preserve">own 5% requirement produces (0.094, 0.045), so their thresholds are coherent with a roughly</w:t>
      </w:r>
      <w:r>
        <w:t xml:space="preserve"> </w:t>
      </w:r>
      <w:r>
        <w:t xml:space="preserve">5% accuracy target on this kind of quantity — which is reassuring about the framework even</w:t>
      </w:r>
      <w:r>
        <w:t xml:space="preserve"> </w:t>
      </w:r>
      <w:r>
        <w:t xml:space="preserve">though it is strict for us. Further, the two statistics are not independent constraints:</w:t>
      </w:r>
      <w:r>
        <w:t xml:space="preserve"> </w:t>
      </w:r>
      <w:r>
        <w:t xml:space="preserve">derived this way they are two projections of the same requirement, and θ is about twice Θ.</w:t>
      </w:r>
    </w:p>
    <w:bookmarkEnd w:id="19"/>
    <w:bookmarkStart w:id="20" w:name="Xa7e87dd0efcc4a9992885785bc3029401f70199"/>
    <w:p>
      <w:pPr>
        <w:pStyle w:val="Heading3"/>
      </w:pPr>
      <w:r>
        <w:t xml:space="preserve">3.2 An important limitation: neither statistic bounds the actual aggregate</w:t>
      </w:r>
    </w:p>
    <w:p>
      <w:pPr>
        <w:pStyle w:val="FirstParagraph"/>
      </w:pPr>
      <w:r>
        <w:t xml:space="preserve">This qualifies section 3.1 and corrects what an earlier version of this note claimed. The</w:t>
      </w:r>
      <w:r>
        <w:t xml:space="preserve"> </w:t>
      </w:r>
      <w:r>
        <w:t xml:space="preserve">bound above applies to the</w:t>
      </w:r>
      <w:r>
        <w:t xml:space="preserve"> </w:t>
      </w:r>
      <w:r>
        <w:rPr>
          <w:b/>
          <w:bCs/>
        </w:rPr>
        <w:t xml:space="preserve">bin-constant approximation</w:t>
      </w:r>
      <w:r>
        <w:t xml:space="preserve"> </w:t>
      </w:r>
      <w:r>
        <w:t xml:space="preserve">of the mean, not to the mean</w:t>
      </w:r>
      <w:r>
        <w:t xml:space="preserve"> </w:t>
      </w:r>
      <w:r>
        <w:t xml:space="preserve">itself. θ and Θ constrain only how much probability sits in each bin; they say nothing</w:t>
      </w:r>
      <w:r>
        <w:t xml:space="preserve"> </w:t>
      </w:r>
      <w:r>
        <w:t xml:space="preserve">about the distribution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bin, and the outer bins are open-ended. A model can</w:t>
      </w:r>
      <w:r>
        <w:t xml:space="preserve"> </w:t>
      </w:r>
      <w:r>
        <w:t xml:space="preserve">therefore match every bin proportion and still get the aggregate wrong.</w:t>
      </w:r>
    </w:p>
    <w:p>
      <w:pPr>
        <w:pStyle w:val="BodyText"/>
      </w:pPr>
      <w:r>
        <w:t xml:space="preserve">Our own results show this is not a hypothetical concern: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condition B</w:t>
            </w:r>
          </w:p>
        </w:tc>
        <w:tc>
          <w:tcPr/>
          <w:p>
            <w:pPr>
              <w:pStyle w:val="Compact"/>
            </w:pPr>
            <w:r>
              <w:t xml:space="preserve">relative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P_inj, actual</w:t>
            </w:r>
          </w:p>
        </w:tc>
        <w:tc>
          <w:tcPr/>
          <w:p>
            <w:pPr>
              <w:pStyle w:val="Compact"/>
            </w:pPr>
            <w:r>
              <w:t xml:space="preserve">0.00615</w:t>
            </w:r>
          </w:p>
        </w:tc>
        <w:tc>
          <w:tcPr/>
          <w:p>
            <w:pPr>
              <w:pStyle w:val="Compact"/>
            </w:pPr>
            <w:r>
              <w:t xml:space="preserve">0.00693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P_inj, binned approximation</w:t>
            </w:r>
          </w:p>
        </w:tc>
        <w:tc>
          <w:tcPr/>
          <w:p>
            <w:pPr>
              <w:pStyle w:val="Compact"/>
            </w:pPr>
            <w:r>
              <w:t xml:space="preserve">0.00615</w:t>
            </w:r>
          </w:p>
        </w:tc>
        <w:tc>
          <w:tcPr/>
          <w:p>
            <w:pPr>
              <w:pStyle w:val="Compact"/>
            </w:pPr>
            <w:r>
              <w:t xml:space="preserve">0.00599</w:t>
            </w:r>
          </w:p>
        </w:tc>
        <w:tc>
          <w:tcPr/>
          <w:p>
            <w:pPr>
              <w:pStyle w:val="Compact"/>
            </w:pPr>
            <w:r>
              <w:t xml:space="preserve">−2.7%</w:t>
            </w:r>
          </w:p>
        </w:tc>
      </w:tr>
    </w:tbl>
    <w:p>
      <w:pPr>
        <w:pStyle w:val="BodyText"/>
      </w:pPr>
      <w:r>
        <w:t xml:space="preserve">The 15-point gap is entirely within-bin, and almost all of it sits in the</w:t>
      </w:r>
      <w:r>
        <w:t xml:space="preserve"> </w:t>
      </w:r>
      <w:r>
        <w:rPr>
          <w:b/>
          <w:bCs/>
        </w:rPr>
        <w:t xml:space="preserve">top bin, which</w:t>
      </w:r>
      <w:r>
        <w:rPr>
          <w:b/>
          <w:bCs/>
        </w:rPr>
        <w:t xml:space="preserve"> </w:t>
      </w:r>
      <w:r>
        <w:rPr>
          <w:b/>
          <w:bCs/>
        </w:rPr>
        <w:t xml:space="preserve">is open-ended</w:t>
      </w:r>
      <w:r>
        <w:t xml:space="preserve">: inside it the reference averages 0.01615 while condition B averages</w:t>
      </w:r>
      <w:r>
        <w:t xml:space="preserve"> </w:t>
      </w:r>
      <w:r>
        <w:t xml:space="preserve">0.02130,</w:t>
      </w:r>
      <w:r>
        <w:t xml:space="preserve"> </w:t>
      </w:r>
      <w:r>
        <w:rPr>
          <w:b/>
          <w:bCs/>
        </w:rPr>
        <w:t xml:space="preserve">+31.8%</w:t>
      </w:r>
      <w:r>
        <w:t xml:space="preserve">. Condition B puts approximately the right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crashes in the</w:t>
      </w:r>
      <w:r>
        <w:t xml:space="preserve"> </w:t>
      </w:r>
      <w:r>
        <w:t xml:space="preserve">most severe band and makes those crashes substantially more severe, and both statistics are</w:t>
      </w:r>
      <w:r>
        <w:t xml:space="preserve"> </w:t>
      </w:r>
      <w:r>
        <w:t xml:space="preserve">blind to it by construction.</w:t>
      </w:r>
    </w:p>
    <w:p>
      <w:pPr>
        <w:pStyle w:val="BodyText"/>
      </w:pPr>
      <w:r>
        <w:t xml:space="preserve">This cuts in the opposite direction from the a_f,min finding of</w:t>
      </w:r>
      <w:r>
        <w:t xml:space="preserve"> </w:t>
      </w:r>
      <w:r>
        <w:rPr>
          <w:rStyle w:val="VerbatimChar"/>
        </w:rPr>
        <w:t xml:space="preserve">docs/severity_vs_timing.md</w:t>
      </w:r>
      <w:r>
        <w:t xml:space="preserve">, where the statistic was too strict. Here it is too lenient. My</w:t>
      </w:r>
      <w:r>
        <w:t xml:space="preserve"> </w:t>
      </w:r>
      <w:r>
        <w:t xml:space="preserve">reading is that the two together make the same point: θ and Θ characterize</w:t>
      </w:r>
      <w:r>
        <w:t xml:space="preserve"> </w:t>
      </w:r>
      <w:r>
        <w:rPr>
          <w:i/>
          <w:iCs/>
        </w:rPr>
        <w:t xml:space="preserve">where the mass</w:t>
      </w:r>
      <w:r>
        <w:rPr>
          <w:i/>
          <w:iCs/>
        </w:rPr>
        <w:t xml:space="preserve"> </w:t>
      </w:r>
      <w:r>
        <w:rPr>
          <w:i/>
          <w:iCs/>
        </w:rPr>
        <w:t xml:space="preserve">sits between pre-defined bands</w:t>
      </w:r>
      <w:r>
        <w:t xml:space="preserve">, and should not be asked to certify anything else.</w:t>
      </w:r>
    </w:p>
    <w:p>
      <w:pPr>
        <w:pStyle w:val="BodyText"/>
      </w:pPr>
      <w:r>
        <w:t xml:space="preserve">Two remedies, which we have adopted: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 the weighted aggregate directly, alongside the equivalence verdict.</w:t>
      </w:r>
      <w:r>
        <w:t xml:space="preserve"> </w:t>
      </w:r>
      <w:r>
        <w:t xml:space="preserve">Implemented as</w:t>
      </w:r>
      <w:r>
        <w:t xml:space="preserve"> </w:t>
      </w:r>
      <w:r>
        <w:rPr>
          <w:rStyle w:val="VerbatimChar"/>
        </w:rPr>
        <w:t xml:space="preserve">equivalence.aggregate_table</w:t>
      </w:r>
      <w:r>
        <w:t xml:space="preserve">, wired into</w:t>
      </w:r>
      <w:r>
        <w:t xml:space="preserve"> </w:t>
      </w:r>
      <w:r>
        <w:rPr>
          <w:rStyle w:val="VerbatimChar"/>
        </w:rPr>
        <w:t xml:space="preserve">run_quadris.assess</w:t>
      </w:r>
      <w:r>
        <w:t xml:space="preserve">, which now</w:t>
      </w:r>
      <w:r>
        <w:t xml:space="preserve"> </w:t>
      </w:r>
      <w:r>
        <w:t xml:space="preserve">prints the reference mean, the synthetic mean, the actual relative error and the binned</w:t>
      </w:r>
      <w:r>
        <w:t xml:space="preserve"> </w:t>
      </w:r>
      <w:r>
        <w:t xml:space="preserve">approximation for every metric. Where the two error columns diverge, the difference is</w:t>
      </w:r>
      <w:r>
        <w:t xml:space="preserve"> </w:t>
      </w:r>
      <w:r>
        <w:t xml:space="preserve">within-bin and invisible to θ and 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Consider bounding the top bin.</w:t>
      </w:r>
      <w:r>
        <w:t xml:space="preserve"> </w:t>
      </w:r>
      <w:r>
        <w:t xml:space="preserve">An open-ended top bin is where the approximation</w:t>
      </w:r>
      <w:r>
        <w:t xml:space="preserve"> </w:t>
      </w:r>
      <w:r>
        <w:t xml:space="preserve">fails worst. Capping it — at a fixed physical value stated in advance — would make the</w:t>
      </w:r>
      <w:r>
        <w:t xml:space="preserve"> </w:t>
      </w:r>
      <w:r>
        <w:t xml:space="preserve">binned approximation track the actual mean much more closely, at the cost of departing</w:t>
      </w:r>
      <w:r>
        <w:t xml:space="preserve"> </w:t>
      </w:r>
      <w:r>
        <w:t xml:space="preserve">from a pure quantile partition.</w:t>
      </w:r>
    </w:p>
    <w:bookmarkEnd w:id="20"/>
    <w:bookmarkEnd w:id="21"/>
    <w:bookmarkStart w:id="25" w:name="X4934a74fdf76e4abd0e7110fac46b4cd4739f4c"/>
    <w:p>
      <w:pPr>
        <w:pStyle w:val="Heading2"/>
      </w:pPr>
      <w:r>
        <w:t xml:space="preserve">4 Bin weights when there is no system under assessment</w:t>
      </w:r>
    </w:p>
    <w:bookmarkStart w:id="22" w:name="X55ac32bad614b2cbc9f39975e67acfa379289f8"/>
    <w:p>
      <w:pPr>
        <w:pStyle w:val="Heading3"/>
      </w:pPr>
      <w:r>
        <w:t xml:space="preserve">4.1 What the weights are, and the one thing that matters about them</w:t>
      </w:r>
    </w:p>
    <w:p>
      <w:pPr>
        <w:pStyle w:val="FirstParagraph"/>
      </w:pPr>
      <w:r>
        <w:t xml:space="preserve">[W26] §2.3 derives bin weights by re-simulating the reference scenarios with the system</w:t>
      </w:r>
      <w:r>
        <w:t xml:space="preserve"> </w:t>
      </w:r>
      <w:r>
        <w:t xml:space="preserve">under assessment and taking (Eq. 11)</w:t>
      </w:r>
    </w:p>
    <w:p>
      <w:pPr>
        <w:pStyle w:val="BlockText"/>
      </w:pPr>
      <w:r>
        <w:t xml:space="preserve">ω_i = ( P̄_inj,rs,i + ε ) / ( P0 + ε ), with ε = 1e-4 and P0 = 0.02</w:t>
      </w:r>
    </w:p>
    <w:p>
      <w:pPr>
        <w:pStyle w:val="FirstParagraph"/>
      </w:pPr>
      <w:r>
        <w:t xml:space="preserve">where P̄_inj,rs,i is the mean</w:t>
      </w:r>
      <w:r>
        <w:t xml:space="preserve"> </w:t>
      </w:r>
      <w:r>
        <w:rPr>
          <w:i/>
          <w:iCs/>
        </w:rPr>
        <w:t xml:space="preserve">re-simulated</w:t>
      </w:r>
      <w:r>
        <w:t xml:space="preserve"> </w:t>
      </w:r>
      <w:r>
        <w:t xml:space="preserve">injury risk in bin i, non-crashes contributing</w:t>
      </w:r>
      <w:r>
        <w:t xml:space="preserve"> </w:t>
      </w:r>
      <w:r>
        <w:t xml:space="preserve">zero. The baseline bin with ω_b = 1 corresponds to P̄_inj,rs = P0 = 0.02, chosen because</w:t>
      </w:r>
      <w:r>
        <w:t xml:space="preserve"> </w:t>
      </w:r>
      <w:r>
        <w:t xml:space="preserve">2–5% MAIS2+ is regarded as the lower bound of clinically meaningful injury risk. The ROPE</w:t>
      </w:r>
      <w:r>
        <w:t xml:space="preserve"> </w:t>
      </w:r>
      <w:r>
        <w:t xml:space="preserve">thresholds are then defined</w:t>
      </w:r>
      <w:r>
        <w:t xml:space="preserve"> </w:t>
      </w:r>
      <w:r>
        <w:rPr>
          <w:i/>
          <w:iCs/>
        </w:rPr>
        <w:t xml:space="preserve">for that baseline bin</w:t>
      </w:r>
      <w:r>
        <w:t xml:space="preserve">: θthd = |ΔP/P_ref|thd · ω_b = 0.10 and</w:t>
      </w:r>
      <w:r>
        <w:t xml:space="preserve"> </w:t>
      </w:r>
      <w:r>
        <w:t xml:space="preserve">Θthd = |ΔP|thd · ω_b = 0.05.</w:t>
      </w:r>
    </w:p>
    <w:p>
      <w:pPr>
        <w:pStyle w:val="BodyText"/>
      </w:pPr>
      <w:r>
        <w:rPr>
          <w:b/>
          <w:bCs/>
        </w:rPr>
        <w:t xml:space="preserve">The key structural point, which I missed in the first version of this note: changing P0</w:t>
      </w:r>
      <w:r>
        <w:rPr>
          <w:b/>
          <w:bCs/>
        </w:rPr>
        <w:t xml:space="preserve"> </w:t>
      </w:r>
      <w:r>
        <w:rPr>
          <w:b/>
          <w:bCs/>
        </w:rPr>
        <w:t xml:space="preserve">multiplies every weight by the same constant, and θ is linear in ω. Choosing P0 is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 exactly equivalent to choosing the θ threshold.</w:t>
      </w:r>
      <w:r>
        <w:t xml:space="preserve"> </w:t>
      </w:r>
      <w:r>
        <w:t xml:space="preserve">They are one knob, not two. The</w:t>
      </w:r>
      <w:r>
        <w:t xml:space="preserve"> </w:t>
      </w:r>
      <w:r>
        <w:t xml:space="preserve">only content in the weight function that P0 does not touch is its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across bins —</w:t>
      </w:r>
      <w:r>
        <w:t xml:space="preserve"> </w:t>
      </w:r>
      <w:r>
        <w:t xml:space="preserve">which bands are treated as mattering more than which others.</w:t>
      </w:r>
    </w:p>
    <w:p>
      <w:pPr>
        <w:pStyle w:val="BodyText"/>
      </w:pPr>
      <w:r>
        <w:t xml:space="preserve">That reframes the whole question. There is no need to find an absolute anchor at all,</w:t>
      </w:r>
      <w:r>
        <w:t xml:space="preserve"> </w:t>
      </w:r>
      <w:r>
        <w:t xml:space="preserve">provided the threshold is set explicitly; what has to be decided is only the shape.</w:t>
      </w:r>
    </w:p>
    <w:bookmarkEnd w:id="22"/>
    <w:bookmarkStart w:id="23" w:name="the-shape-barely-matters-for-our-data"/>
    <w:p>
      <w:pPr>
        <w:pStyle w:val="Heading3"/>
      </w:pPr>
      <w:r>
        <w:t xml:space="preserve">4.2 The shape barely matters for our data</w:t>
      </w:r>
    </w:p>
    <w:p>
      <w:pPr>
        <w:pStyle w:val="FirstParagraph"/>
      </w:pPr>
      <w:r>
        <w:t xml:space="preserve">Computing Eq. 11’s shape from our own re-simulations (normalizing so the weights average</w:t>
      </w:r>
      <w:r>
        <w:t xml:space="preserve"> </w:t>
      </w:r>
      <w:r>
        <w:t xml:space="preserve">one) gives, with condition B as the re-simulated system, ω ≈ [1.00, 1.06, 1.42, 0.93, 0.59]:</w:t>
      </w:r>
      <w:r>
        <w:t xml:space="preserve"> </w:t>
      </w:r>
      <w:r>
        <w:t xml:space="preserve">a mild emphasis on the middle band. Applied to our observed per-bin relative deviations</w:t>
      </w:r>
      <w:r>
        <w:t xml:space="preserve"> </w:t>
      </w:r>
      <w:r>
        <w:t xml:space="preserve">(0.128, 0.024, 0.056, 0.148, 0.099) this moves θ from</w:t>
      </w:r>
      <w:r>
        <w:t xml:space="preserve"> </w:t>
      </w:r>
      <w:r>
        <w:rPr>
          <w:b/>
          <w:bCs/>
        </w:rPr>
        <w:t xml:space="preserve">0.148 to 0.138</w:t>
      </w:r>
      <w:r>
        <w:t xml:space="preserve">, about 7%, and does</w:t>
      </w:r>
      <w:r>
        <w:t xml:space="preserve"> </w:t>
      </w:r>
      <w:r>
        <w:t xml:space="preserve">not change which bin is the maximum. The weighting is close to inert here because the</w:t>
      </w:r>
      <w:r>
        <w:t xml:space="preserve"> </w:t>
      </w:r>
      <w:r>
        <w:t xml:space="preserve">re-simulated injury risk is fairly flat across the severity bands.</w:t>
      </w:r>
    </w:p>
    <w:bookmarkEnd w:id="23"/>
    <w:bookmarkStart w:id="24" w:name="X1a8c250eb624644953d69e217d98bbe16c96fbd"/>
    <w:p>
      <w:pPr>
        <w:pStyle w:val="Heading3"/>
      </w:pPr>
      <w:r>
        <w:t xml:space="preserve">4.3 So: do we need a system under assessment at all?</w:t>
      </w:r>
    </w:p>
    <w:p>
      <w:pPr>
        <w:pStyle w:val="FirstParagraph"/>
      </w:pPr>
      <w:r>
        <w:t xml:space="preserve">My answer is no, and I would not build one for this purpose. Three reasons.</w:t>
      </w:r>
    </w:p>
    <w:p>
      <w:pPr>
        <w:pStyle w:val="BodyText"/>
      </w:pPr>
      <w:r>
        <w:rPr>
          <w:b/>
          <w:bCs/>
        </w:rPr>
        <w:t xml:space="preserve">The severity emphasis is already inside the derived threshold.</w:t>
      </w:r>
      <w:r>
        <w:t xml:space="preserve"> </w:t>
      </w:r>
      <w:r>
        <w:t xml:space="preserve">The derivation in §3.1</w:t>
      </w:r>
      <w:r>
        <w:t xml:space="preserve"> </w:t>
      </w:r>
      <w:r>
        <w:t xml:space="preserve">uses the reference’s per-bin injury risks, so the bands that carry real injury risk already</w:t>
      </w:r>
      <w:r>
        <w:t xml:space="preserve"> </w:t>
      </w:r>
      <w:r>
        <w:t xml:space="preserve">dominate the bound. Adding ω on top would apply the same emphasis twice.</w:t>
      </w:r>
    </w:p>
    <w:p>
      <w:pPr>
        <w:pStyle w:val="BodyText"/>
      </w:pPr>
      <w:r>
        <w:rPr>
          <w:b/>
          <w:bCs/>
        </w:rPr>
        <w:t xml:space="preserve">Using one of our own conditions to define ω creates a circularity, and threatens the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comparison.</w:t>
      </w:r>
      <w:r>
        <w:t xml:space="preserve"> </w:t>
      </w:r>
      <w:r>
        <w:t xml:space="preserve">Our study’s conclusion is a comparison between two response processes. If ω</w:t>
      </w:r>
      <w:r>
        <w:t xml:space="preserve"> </w:t>
      </w:r>
      <w:r>
        <w:t xml:space="preserve">were derived from condition B for condition B and from condition C for condition C, θ would</w:t>
      </w:r>
      <w:r>
        <w:t xml:space="preserve"> </w:t>
      </w:r>
      <w:r>
        <w:t xml:space="preserve">no longer be comparable between them — and comparability is the entire point. We would have</w:t>
      </w:r>
      <w:r>
        <w:t xml:space="preserve"> </w:t>
      </w:r>
      <w:r>
        <w:t xml:space="preserve">to fix ω from a single source and apply it to all conditions, which means arbitrarily</w:t>
      </w:r>
      <w:r>
        <w:t xml:space="preserve"> </w:t>
      </w:r>
      <w:r>
        <w:t xml:space="preserve">electing one of the compared models to define the yardstick.</w:t>
      </w:r>
    </w:p>
    <w:p>
      <w:pPr>
        <w:pStyle w:val="BodyText"/>
      </w:pPr>
      <w:r>
        <w:rPr>
          <w:b/>
          <w:bCs/>
        </w:rPr>
        <w:t xml:space="preserve">A well-performing system produces uninformative weights anyway.</w:t>
      </w:r>
      <w:r>
        <w:t xml:space="preserve"> </w:t>
      </w:r>
      <w:r>
        <w:t xml:space="preserve">This is worth noting</w:t>
      </w:r>
      <w:r>
        <w:t xml:space="preserve"> </w:t>
      </w:r>
      <w:r>
        <w:t xml:space="preserve">about Eq. 11 generally, and it bears directly on the AEB+ACC option: if the assessed system</w:t>
      </w:r>
      <w:r>
        <w:t xml:space="preserve"> </w:t>
      </w:r>
      <w:r>
        <w:t xml:space="preserve">removes essentially all crashes, then P̄_inj,rs,i → 0 in every bin, every ω_i collapses to</w:t>
      </w:r>
      <w:r>
        <w:t xml:space="preserve"> </w:t>
      </w:r>
      <w:r>
        <w:t xml:space="preserve">ε/(P0+ε), and after the rescaling of §4.1 you are back to uniform weights. The construction</w:t>
      </w:r>
      <w:r>
        <w:t xml:space="preserve"> </w:t>
      </w:r>
      <w:r>
        <w:t xml:space="preserve">is informative only for a system that leaves</w:t>
      </w:r>
      <w:r>
        <w:t xml:space="preserve"> </w:t>
      </w:r>
      <w:r>
        <w:rPr>
          <w:i/>
          <w:iCs/>
        </w:rPr>
        <w:t xml:space="preserve">heterogeneous</w:t>
      </w:r>
      <w:r>
        <w:t xml:space="preserve"> </w:t>
      </w:r>
      <w:r>
        <w:t xml:space="preserve">residual risk across the</w:t>
      </w:r>
      <w:r>
        <w:t xml:space="preserve"> </w:t>
      </w:r>
      <w:r>
        <w:t xml:space="preserve">severity range. Your intuition that AEB+ACC</w:t>
      </w:r>
      <w:r>
        <w:t xml:space="preserve"> </w:t>
      </w:r>
      <w:r>
        <w:t xml:space="preserve">“will likely not have any crashes”</w:t>
      </w:r>
      <w:r>
        <w:t xml:space="preserve"> </w:t>
      </w:r>
      <w:r>
        <w:t xml:space="preserve">is exactly</w:t>
      </w:r>
      <w:r>
        <w:t xml:space="preserve"> </w:t>
      </w:r>
      <w:r>
        <w:t xml:space="preserve">the case where the weights stop carrying information.</w:t>
      </w:r>
    </w:p>
    <w:p>
      <w:pPr>
        <w:pStyle w:val="BodyText"/>
      </w:pPr>
      <w:r>
        <w:t xml:space="preserve">Of the three options you raise, then: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the simulations as-is and use those weights</w:t>
      </w:r>
      <w:r>
        <w:t xml:space="preserve"> </w:t>
      </w:r>
      <w:r>
        <w:t xml:space="preserve">— coherent, but it is the circularity</w:t>
      </w:r>
      <w:r>
        <w:t xml:space="preserve"> </w:t>
      </w:r>
      <w:r>
        <w:t xml:space="preserve">above, and it buys a 7% change in θ. Not worth the interpretive cost, as I read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 an AEB</w:t>
      </w:r>
      <w:r>
        <w:t xml:space="preserve"> </w:t>
      </w:r>
      <w:r>
        <w:t xml:space="preserve">— a substantial new modeling object with its own assumptions, whose</w:t>
      </w:r>
      <w:r>
        <w:t xml:space="preserve"> </w:t>
      </w:r>
      <w:r>
        <w:t xml:space="preserve">benefit is not what this study is about. Worth doing if we ever want a genuine safety</w:t>
      </w:r>
      <w:r>
        <w:t xml:space="preserve"> </w:t>
      </w:r>
      <w:r>
        <w:t xml:space="preserve">benefit assessment on QUADRIS, and then the weights come free; not worth doing to justify</w:t>
      </w:r>
      <w:r>
        <w:t xml:space="preserve"> </w:t>
      </w:r>
      <w:r>
        <w:t xml:space="preserve">a bin weight.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AEB+ACC</w:t>
      </w:r>
      <w:r>
        <w:t xml:space="preserve"> </w:t>
      </w:r>
      <w:r>
        <w:t xml:space="preserve">— degenerate for this purpose, per the argument above.</w:t>
      </w:r>
    </w:p>
    <w:p>
      <w:pPr>
        <w:pStyle w:val="FirstParagraph"/>
      </w:pPr>
      <w:r>
        <w:rPr>
          <w:b/>
          <w:bCs/>
        </w:rPr>
        <w:t xml:space="preserve">Recommendation: uniform ω = 1, with θ and Θ set explicitly from a stated accuracy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requirement.</w:t>
      </w:r>
      <w:r>
        <w:t xml:space="preserve"> </w:t>
      </w:r>
      <w:r>
        <w:t xml:space="preserve">That is one transparent decision, it needs no counterfactual system, it keeps</w:t>
      </w:r>
      <w:r>
        <w:t xml:space="preserve"> </w:t>
      </w:r>
      <w:r>
        <w:t xml:space="preserve">θ comparable across conditions, and it makes the severity emphasis auditable because it is</w:t>
      </w:r>
      <w:r>
        <w:t xml:space="preserve"> </w:t>
      </w:r>
      <w:r>
        <w:t xml:space="preserve">written into the threshold derivation rather than hidden in a weight function.</w:t>
      </w:r>
    </w:p>
    <w:bookmarkEnd w:id="24"/>
    <w:bookmarkEnd w:id="25"/>
    <w:bookmarkStart w:id="29" w:name="the-rope-we-will-use"/>
    <w:p>
      <w:pPr>
        <w:pStyle w:val="Heading2"/>
      </w:pPr>
      <w:r>
        <w:t xml:space="preserve">5 The ROPE we will use</w:t>
      </w:r>
    </w:p>
    <w:p>
      <w:pPr>
        <w:pStyle w:val="FirstParagraph"/>
      </w:pPr>
      <w:r>
        <w:rPr>
          <w:b/>
          <w:bCs/>
        </w:rPr>
        <w:t xml:space="preserve">Settled 2026-08-26.</w:t>
      </w:r>
      <w:r>
        <w:t xml:space="preserve"> </w:t>
      </w:r>
      <w:r>
        <w:t xml:space="preserve">The full configuration, with each element’s justification: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population</w:t>
            </w:r>
          </w:p>
        </w:tc>
        <w:tc>
          <w:tcPr/>
          <w:p>
            <w:pPr>
              <w:pStyle w:val="Compact"/>
            </w:pPr>
            <w:r>
              <w:t xml:space="preserve">§2.5 — the claim is about this ensemble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= 5</w:t>
            </w:r>
          </w:p>
        </w:tc>
        <w:tc>
          <w:tcPr/>
          <w:p>
            <w:pPr>
              <w:pStyle w:val="Compact"/>
            </w:pPr>
            <w:r>
              <w:t xml:space="preserve">§2.4 — the prescribed 20 is unusable, and θ’s upward bias grows with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weights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uniform, ω = 1</w:t>
            </w:r>
          </w:p>
        </w:tc>
        <w:tc>
          <w:tcPr/>
          <w:p>
            <w:pPr>
              <w:pStyle w:val="Compact"/>
            </w:pPr>
            <w:r>
              <w:t xml:space="preserve">§4.3 — no system under assessment, and the severity emphasis is already inside the threshold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injury risk P_inj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θthd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§3.1 — a 10% tolerance on the injury-weighted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Θthd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§3.1 — the same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synthetic-side bootstrap;</w:t>
            </w:r>
            <w:r>
              <w:t xml:space="preserve"> </w:t>
            </w:r>
            <w:r>
              <w:rPr>
                <w:b/>
                <w:bCs/>
              </w:rPr>
              <w:t xml:space="preserve">comparisons as paired differences</w:t>
            </w:r>
          </w:p>
        </w:tc>
        <w:tc>
          <w:tcPr/>
          <w:p>
            <w:pPr>
              <w:pStyle w:val="Compact"/>
            </w:pPr>
            <w:r>
              <w:t xml:space="preserve">§2.5, and results doc §4.3b-ii</w:t>
            </w:r>
          </w:p>
        </w:tc>
      </w:tr>
    </w:tbl>
    <w:p>
      <w:pPr>
        <w:pStyle w:val="BodyText"/>
      </w:pPr>
      <w:r>
        <w:t xml:space="preserve">Under this configuration the noise floor is about 0.021, so all four candidate thresholds</w:t>
      </w:r>
      <w:r>
        <w:t xml:space="preserve"> </w:t>
      </w:r>
      <w:r>
        <w:t xml:space="preserve">(0.094, 0.10, 0.15, 0.188) are usable and the verdicts describe the model rather than the</w:t>
      </w:r>
      <w:r>
        <w:t xml:space="preserve"> </w:t>
      </w:r>
      <w:r>
        <w:t xml:space="preserve">instrument.</w:t>
      </w:r>
    </w:p>
    <w:p>
      <w:pPr>
        <w:pStyle w:val="BodyText"/>
      </w:pPr>
      <w:r>
        <w:rPr>
          <w:b/>
          <w:bCs/>
        </w:rPr>
        <w:t xml:space="preserve">The verdict under this configuration, stated precisely.</w:t>
      </w:r>
      <w:r>
        <w:t xml:space="preserve"> </w:t>
      </w:r>
      <w:r>
        <w:t xml:space="preserve">Regenerating the full-population</w:t>
      </w:r>
      <w:r>
        <w:t xml:space="preserve"> </w:t>
      </w:r>
      <w:r>
        <w:t xml:space="preserve">readout with the population treatment gives, on severity: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95% HDI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95% HDI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active inference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[0.110, 0.204]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[0.068, 0.117]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CBM control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[0.176, 0.244]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[0.132, 0.166]</w:t>
            </w:r>
          </w:p>
        </w:tc>
      </w:tr>
    </w:tbl>
    <w:p>
      <w:pPr>
        <w:pStyle w:val="BodyText"/>
      </w:pPr>
      <w:r>
        <w:t xml:space="preserve">Against θthd = 0.188 and Θthd = 0.089,</w:t>
      </w:r>
      <w:r>
        <w:t xml:space="preserve"> </w:t>
      </w:r>
      <w:r>
        <w:rPr>
          <w:b/>
          <w:bCs/>
        </w:rPr>
        <w:t xml:space="preserve">condition B does not achieve practical equivalence,</w:t>
      </w:r>
      <w:r>
        <w:rPr>
          <w:b/>
          <w:bCs/>
        </w:rPr>
        <w:t xml:space="preserve"> </w:t>
      </w:r>
      <w:r>
        <w:rPr>
          <w:b/>
          <w:bCs/>
        </w:rPr>
        <w:t xml:space="preserve">and an earlier draft of this section wrongly said it did.</w:t>
      </w:r>
      <w:r>
        <w:t xml:space="preserve"> </w:t>
      </w:r>
      <w:r>
        <w:t xml:space="preserve">The detail matters: B’s θ</w:t>
      </w:r>
      <w:r>
        <w:t xml:space="preserve"> </w:t>
      </w:r>
      <w:r>
        <w:rPr>
          <w:i/>
          <w:iCs/>
        </w:rPr>
        <w:t xml:space="preserve">point</w:t>
      </w:r>
      <w:r>
        <w:rPr>
          <w:i/>
          <w:iCs/>
        </w:rP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of 0.148 clears 0.188 comfortably, but the decision rule requires the upper end of</w:t>
      </w:r>
      <w:r>
        <w:t xml:space="preserve"> </w:t>
      </w:r>
      <w:r>
        <w:t xml:space="preserve">the interval to clear it, and 0.204 does not. Θ misses even on the point estimate, by 0.002.</w:t>
      </w:r>
      <w:r>
        <w:t xml:space="preserve"> </w:t>
      </w:r>
      <w:r>
        <w:t xml:space="preserve">Condition C fails on every reading.</w:t>
      </w:r>
    </w:p>
    <w:p>
      <w:pPr>
        <w:pStyle w:val="BodyText"/>
      </w:pPr>
      <w:r>
        <w:t xml:space="preserve">The tolerance at which B would pass both statistics under the HDI rule is about</w:t>
      </w:r>
      <w:r>
        <w:t xml:space="preserve"> </w:t>
      </w:r>
      <w:r>
        <w:rPr>
          <w:b/>
          <w:bCs/>
        </w:rPr>
        <w:t xml:space="preserve">13%</w:t>
      </w:r>
      <w:r>
        <w:t xml:space="preserve"> </w:t>
      </w:r>
      <w:r>
        <w:t xml:space="preserve">on</w:t>
      </w:r>
      <w:r>
        <w:t xml:space="preserve"> </w:t>
      </w:r>
      <w:r>
        <w:t xml:space="preserve">the injury-weighted mean (θ needs 10.9%, Θ needs 13.1%, so Θ binds). Whether 13% is</w:t>
      </w:r>
      <w:r>
        <w:t xml:space="preserve"> </w:t>
      </w:r>
      <w:r>
        <w:t xml:space="preserve">defensible is a different question from whether 10% is, and I would not argue for it: at that</w:t>
      </w:r>
      <w:r>
        <w:t xml:space="preserve"> </w:t>
      </w:r>
      <w:r>
        <w:t xml:space="preserve">point the tolerance is being chosen to fit the result. The honest reporting is that</w:t>
      </w:r>
      <w:r>
        <w:t xml:space="preserve"> </w:t>
      </w:r>
      <w:r>
        <w:rPr>
          <w:b/>
          <w:bCs/>
        </w:rPr>
        <w:t xml:space="preserve">condition B is closer to the reference than the CBM control by a margin that is</w:t>
      </w:r>
      <w:r>
        <w:rPr>
          <w:b/>
          <w:bCs/>
        </w:rPr>
        <w:t xml:space="preserve"> </w:t>
      </w:r>
      <w:r>
        <w:rPr>
          <w:b/>
          <w:bCs/>
        </w:rPr>
        <w:t xml:space="preserve">statistically solid (results document §4.3b-ii), and misses practical equivalence at a 10%</w:t>
      </w:r>
      <w:r>
        <w:rPr>
          <w:b/>
          <w:bCs/>
        </w:rPr>
        <w:t xml:space="preserve"> </w:t>
      </w:r>
      <w:r>
        <w:rPr>
          <w:b/>
          <w:bCs/>
        </w:rPr>
        <w:t xml:space="preserve">tolerance</w:t>
      </w:r>
      <w:r>
        <w:t xml:space="preserve">, with the distance now measured against a criterion the reference can actually</w:t>
      </w:r>
      <w:r>
        <w:t xml:space="preserve"> </w:t>
      </w:r>
      <w:r>
        <w:t xml:space="preserve">resolve rather than against its own noise.</w:t>
      </w:r>
    </w:p>
    <w:p>
      <w:pPr>
        <w:pStyle w:val="BodyText"/>
      </w:pPr>
      <w:r>
        <w:t xml:space="preserve">Note also that B would fail Wu’s 0.10 and our 5%-derived 0.094 by a wide margin — the 10%</w:t>
      </w:r>
      <w:r>
        <w:t xml:space="preserve"> </w:t>
      </w:r>
      <w:r>
        <w:t xml:space="preserve">tolerance is doing real work and must be argued for, not assumed.</w:t>
      </w:r>
    </w:p>
    <w:p>
      <w:pPr>
        <w:pStyle w:val="BodyText"/>
      </w:pPr>
      <w:r>
        <w:t xml:space="preserve">Reported alongside, not folded in: the</w:t>
      </w:r>
      <w:r>
        <w:t xml:space="preserve"> </w:t>
      </w:r>
      <w:r>
        <w:rPr>
          <w:b/>
          <w:bCs/>
        </w:rPr>
        <w:t xml:space="preserve">actual aggregate error</w:t>
      </w:r>
      <w:r>
        <w:t xml:space="preserve"> </w:t>
      </w:r>
      <w:r>
        <w:t xml:space="preserve">(§3.2), which for</w:t>
      </w:r>
      <w:r>
        <w:t xml:space="preserve"> </w:t>
      </w:r>
      <w:r>
        <w:t xml:space="preserve">condition B is +12.6% and therefore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meet a 10% tolerance. This has to be stated</w:t>
      </w:r>
      <w:r>
        <w:t xml:space="preserve"> </w:t>
      </w:r>
      <w:r>
        <w:t xml:space="preserve">plainly. The threshold pair certifies the between-bin allocation; the aggregate is a</w:t>
      </w:r>
      <w:r>
        <w:t xml:space="preserve"> </w:t>
      </w:r>
      <w:r>
        <w:t xml:space="preserve">separate criterion that condition B currently fails, and the failure is concentrated in the</w:t>
      </w:r>
      <w:r>
        <w:t xml:space="preserve"> </w:t>
      </w:r>
      <w:r>
        <w:t xml:space="preserve">open-ended top bin.</w:t>
      </w:r>
    </w:p>
    <w:bookmarkStart w:id="26" w:name="X5782421bec61e39416539c572394d54bcbcfa4d"/>
    <w:p>
      <w:pPr>
        <w:pStyle w:val="Heading3"/>
      </w:pPr>
      <w:r>
        <w:t xml:space="preserve">5.1 The motivation, written as it would appear in a paper</w:t>
      </w:r>
    </w:p>
    <w:p>
      <w:pPr>
        <w:pStyle w:val="BlockText"/>
      </w:pPr>
      <w:r>
        <w:rPr>
          <w:b/>
          <w:bCs/>
        </w:rPr>
        <w:t xml:space="preserve">Equivalence criteria.</w:t>
      </w:r>
      <w:r>
        <w:t xml:space="preserve"> </w:t>
      </w:r>
      <w:r>
        <w:t xml:space="preserve">Practical equivalence was assessed using the binning-based</w:t>
      </w:r>
      <w:r>
        <w:t xml:space="preserve"> </w:t>
      </w:r>
      <w:r>
        <w:t xml:space="preserve">statistics θ and Θ of Wu et al. (2026), with the reference distribution partitioned into</w:t>
      </w:r>
      <w:r>
        <w:t xml:space="preserve"> </w:t>
      </w:r>
      <w:r>
        <w:t xml:space="preserve">N = 5 quantile bins and uniform bin weights (ω_i = 1). Uniform weights were used because</w:t>
      </w:r>
      <w:r>
        <w:t xml:space="preserve"> </w:t>
      </w:r>
      <w:r>
        <w:t xml:space="preserve">no countermeasure was under assessment: the comparison is between two candidate driver</w:t>
      </w:r>
      <w:r>
        <w:t xml:space="preserve"> </w:t>
      </w:r>
      <w:r>
        <w:t xml:space="preserve">response processes rather than between a baseline and a treated condition, so deriving</w:t>
      </w:r>
      <w:r>
        <w:t xml:space="preserve"> </w:t>
      </w:r>
      <w:r>
        <w:t xml:space="preserve">weights by re-simulation would have required electing one of the compared models to define</w:t>
      </w:r>
      <w:r>
        <w:t xml:space="preserve"> </w:t>
      </w:r>
      <w:r>
        <w:t xml:space="preserve">the yardstick, and would have made θ incomparable across conditions.</w:t>
      </w:r>
    </w:p>
    <w:p>
      <w:pPr>
        <w:pStyle w:val="BlockText"/>
      </w:pPr>
      <w:r>
        <w:t xml:space="preserve">Because uniform weights place every bin at the framework’s baseline weight, the ROPE</w:t>
      </w:r>
      <w:r>
        <w:t xml:space="preserve"> </w:t>
      </w:r>
      <w:r>
        <w:t xml:space="preserve">thresholds were derived explicitly rather than adopted from the source study, whose</w:t>
      </w:r>
      <w:r>
        <w:t xml:space="preserve"> </w:t>
      </w:r>
      <w:r>
        <w:t xml:space="preserve">published values are anchored to a substantially more severe crash population. Thresholds</w:t>
      </w:r>
      <w:r>
        <w:t xml:space="preserve"> </w:t>
      </w:r>
      <w:r>
        <w:t xml:space="preserve">were set from a pre-specified tolerance on the quantity the comparison is intended to</w:t>
      </w:r>
      <w:r>
        <w:t xml:space="preserve"> </w:t>
      </w:r>
      <w:r>
        <w:t xml:space="preserve">support, namely the injury-risk-weighted aggregate. Writing ΔP_i for the difference in bin</w:t>
      </w:r>
      <w:r>
        <w:t xml:space="preserve"> </w:t>
      </w:r>
      <w:r>
        <w:t xml:space="preserve">proportions and f_i for the mean MAIS2+ injury risk of reference crashes in bin i, the</w:t>
      </w:r>
      <w:r>
        <w:t xml:space="preserve"> </w:t>
      </w:r>
      <w:r>
        <w:t xml:space="preserve">error in the binned aggregate is Σ ΔP_i f_i, which is bounded by Θ·max_i|f_i − c| for the</w:t>
      </w:r>
      <w:r>
        <w:t xml:space="preserve"> </w:t>
      </w:r>
      <w:r>
        <w:t xml:space="preserve">aggregate statistic and, for the worst-bin statistic, by the maximum of Σ ΔP_i f_i subject</w:t>
      </w:r>
      <w:r>
        <w:t xml:space="preserve"> </w:t>
      </w:r>
      <w:r>
        <w:t xml:space="preserve">to |ΔP_i| ≤ θ·P_ref,i and Σ ΔP_i = 0. Evaluating both for the present reference</w:t>
      </w:r>
      <w:r>
        <w:t xml:space="preserve"> </w:t>
      </w:r>
      <w:r>
        <w:t xml:space="preserve">distribution, a tolerance of 10% on the injury-weighted mean corresponds to Θthd = 0.089</w:t>
      </w:r>
      <w:r>
        <w:t xml:space="preserve"> </w:t>
      </w:r>
      <w:r>
        <w:t xml:space="preserve">and θthd = 0.188. These thresholds and the tolerance from which they derive were fixed</w:t>
      </w:r>
      <w:r>
        <w:t xml:space="preserve"> </w:t>
      </w:r>
      <w:r>
        <w:t xml:space="preserve">before the conditions were compared, and depend only on the reference distribution.</w:t>
      </w:r>
    </w:p>
    <w:p>
      <w:pPr>
        <w:pStyle w:val="BlockText"/>
      </w:pPr>
      <w:r>
        <w:t xml:space="preserve">Two limitations of the criteria are noted. First, θ and Θ constrain only the allocation of</w:t>
      </w:r>
      <w:r>
        <w:t xml:space="preserve"> </w:t>
      </w:r>
      <w:r>
        <w:t xml:space="preserve">probability mass between bins; they place no constraint on the distribution within a bin,</w:t>
      </w:r>
      <w:r>
        <w:t xml:space="preserve"> </w:t>
      </w:r>
      <w:r>
        <w:t xml:space="preserve">and the outermost bins are open-ended. The aggregate is therefore reported directly</w:t>
      </w:r>
      <w:r>
        <w:t xml:space="preserve"> </w:t>
      </w:r>
      <w:r>
        <w:t xml:space="preserve">alongside the equivalence verdict rather than being inferred from it. Second, θ is a</w:t>
      </w:r>
      <w:r>
        <w:t xml:space="preserve"> </w:t>
      </w:r>
      <w:r>
        <w:t xml:space="preserve">maximum over bins and is biased upward under resampling, so requiring the upper bound of</w:t>
      </w:r>
      <w:r>
        <w:t xml:space="preserve"> </w:t>
      </w:r>
      <w:r>
        <w:t xml:space="preserve">its 95% highest-density interval to fall inside the ROPE is conservative, increasingly so</w:t>
      </w:r>
      <w:r>
        <w:t xml:space="preserve"> </w:t>
      </w:r>
      <w:r>
        <w:t xml:space="preserve">as N grows.</w:t>
      </w:r>
    </w:p>
    <w:bookmarkEnd w:id="26"/>
    <w:bookmarkStart w:id="27" w:name="on-choosing-10-rather-than-5-or-8"/>
    <w:p>
      <w:pPr>
        <w:pStyle w:val="Heading3"/>
      </w:pPr>
      <w:r>
        <w:t xml:space="preserve">5.2 On choosing 10% rather than 5% or 8%</w:t>
      </w:r>
    </w:p>
    <w:p>
      <w:pPr>
        <w:pStyle w:val="FirstParagraph"/>
      </w:pPr>
      <w:r>
        <w:t xml:space="preserve">I would rather we chose the tolerance for a stated reason than for the θ it produces, and I</w:t>
      </w:r>
      <w:r>
        <w:t xml:space="preserve"> </w:t>
      </w:r>
      <w:r>
        <w:t xml:space="preserve">want to flag the hazard explicitly, because our result is θ = 0.148: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5% (θthd = 0.094)</w:t>
      </w:r>
      <w:r>
        <w:t xml:space="preserve"> </w:t>
      </w:r>
      <w:r>
        <w:t xml:space="preserve">— the strict reading, matching Wu’s published thresholds almost</w:t>
      </w:r>
      <w:r>
        <w:t xml:space="preserve"> </w:t>
      </w:r>
      <w:r>
        <w:t xml:space="preserve">exactly. Condition B fails.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8% (θthd = 0.150)</w:t>
      </w:r>
      <w:r>
        <w:t xml:space="preserve"> </w:t>
      </w:r>
      <w:r>
        <w:t xml:space="preserve">— condition B passes by 0.002. I would avoid this one. Whatever the</w:t>
      </w:r>
      <w:r>
        <w:t xml:space="preserve"> </w:t>
      </w:r>
      <w:r>
        <w:t xml:space="preserve">derivation, a threshold landing 1.3% above the result reads as chosen to clear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10% (θthd = 0.188)</w:t>
      </w:r>
      <w:r>
        <w:t xml:space="preserve"> </w:t>
      </w:r>
      <w:r>
        <w:t xml:space="preserve">— condition B passes with real margin, and 10% is a round,</w:t>
      </w:r>
      <w:r>
        <w:t xml:space="preserve"> </w:t>
      </w:r>
      <w:r>
        <w:t xml:space="preserve">defensible tolerance for a comparison of candidate driver models rather than for</w:t>
      </w:r>
      <w:r>
        <w:t xml:space="preserve"> </w:t>
      </w:r>
      <w:r>
        <w:t xml:space="preserve">certifying a dataset for regulatory use.</w:t>
      </w:r>
    </w:p>
    <w:p>
      <w:pPr>
        <w:pStyle w:val="FirstParagraph"/>
      </w:pPr>
      <w:r>
        <w:t xml:space="preserve">10% seems to me defensible provided we say why 10% is the right tolerance</w:t>
      </w:r>
      <w:r>
        <w:t xml:space="preserve"> </w:t>
      </w:r>
      <w:r>
        <w:rPr>
          <w:i/>
          <w:iCs/>
        </w:rPr>
        <w:t xml:space="preserve">for this</w:t>
      </w:r>
      <w:r>
        <w:rPr>
          <w:i/>
          <w:iCs/>
        </w:rPr>
        <w:t xml:space="preserve"> </w:t>
      </w:r>
      <w:r>
        <w:rPr>
          <w:i/>
          <w:iCs/>
        </w:rPr>
        <w:t xml:space="preserve">purpose</w:t>
      </w:r>
      <w:r>
        <w:t xml:space="preserve">, and provided we report the actual aggregate error next to it rather than letting</w:t>
      </w:r>
      <w:r>
        <w:t xml:space="preserve"> </w:t>
      </w:r>
      <w:r>
        <w:t xml:space="preserve">the threshold imply a guarantee it does not deliver. The argument I would make is that this</w:t>
      </w:r>
      <w:r>
        <w:t xml:space="preserve"> </w:t>
      </w:r>
      <w:r>
        <w:t xml:space="preserve">study compares two response processes on a shared scenario ensemble, so the quantity that</w:t>
      </w:r>
      <w:r>
        <w:t xml:space="preserve"> </w:t>
      </w:r>
      <w:r>
        <w:t xml:space="preserve">matters is the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distance</w:t>
      </w:r>
      <w:r>
        <w:t xml:space="preserve">, not certification of a synthetic dataset for</w:t>
      </w:r>
      <w:r>
        <w:t xml:space="preserve"> </w:t>
      </w:r>
      <w:r>
        <w:t xml:space="preserve">substitution — and a 10% tolerance on the injury-weighted aggregate is well inside the</w:t>
      </w:r>
      <w:r>
        <w:t xml:space="preserve"> </w:t>
      </w:r>
      <w:r>
        <w:t xml:space="preserve">uncertainty that the crash-conditioning critique (results doc §7) already imposes on any</w:t>
      </w:r>
      <w:r>
        <w:t xml:space="preserve"> </w:t>
      </w:r>
      <w:r>
        <w:t xml:space="preserve">absolute number from these seeds.</w:t>
      </w:r>
    </w:p>
    <w:bookmarkEnd w:id="27"/>
    <w:bookmarkStart w:id="28" w:name="X30e5c86bc7cbca08049a6058fa1f1fc3fa3146f"/>
    <w:p>
      <w:pPr>
        <w:pStyle w:val="Heading3"/>
      </w:pPr>
      <w:r>
        <w:t xml:space="preserve">5.3 Severity as injury risk, not as relative speed at impact</w:t>
      </w:r>
    </w:p>
    <w:p>
      <w:pPr>
        <w:pStyle w:val="FirstParagraph"/>
      </w:pPr>
      <w:r>
        <w:t xml:space="preserve">The regenerated aggregates (results document §4.3c) made this choice sharp, because the two</w:t>
      </w:r>
      <w:r>
        <w:t xml:space="preserve"> </w:t>
      </w:r>
      <w:r>
        <w:t xml:space="preserve">candidates disagree markedly: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condition B</w:t>
            </w:r>
          </w:p>
        </w:tc>
        <w:tc>
          <w:tcPr/>
          <w:p>
            <w:pPr>
              <w:pStyle w:val="Compact"/>
            </w:pPr>
            <w:r>
              <w:t xml:space="preserve">condition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relative speed at impact</w:t>
            </w:r>
          </w:p>
        </w:tc>
        <w:tc>
          <w:tcPr/>
          <w:p>
            <w:pPr>
              <w:pStyle w:val="Compact"/>
            </w:pPr>
            <w:r>
              <w:t xml:space="preserve">4.788</w:t>
            </w:r>
          </w:p>
        </w:tc>
        <w:tc>
          <w:tcPr/>
          <w:p>
            <w:pPr>
              <w:pStyle w:val="Compact"/>
            </w:pPr>
            <w:r>
              <w:t xml:space="preserve">+1.6%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injury risk P_inj</w:t>
            </w:r>
          </w:p>
        </w:tc>
        <w:tc>
          <w:tcPr/>
          <w:p>
            <w:pPr>
              <w:pStyle w:val="Compact"/>
            </w:pPr>
            <w:r>
              <w:t xml:space="preserve">0.00615</w:t>
            </w:r>
          </w:p>
        </w:tc>
        <w:tc>
          <w:tcPr/>
          <w:p>
            <w:pPr>
              <w:pStyle w:val="Compact"/>
            </w:pPr>
            <w:r>
              <w:t xml:space="preserve">+12.6%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+10.4%</w:t>
            </w:r>
          </w:p>
        </w:tc>
      </w:tr>
    </w:tbl>
    <w:p>
      <w:pPr>
        <w:pStyle w:val="BodyText"/>
      </w:pPr>
      <w:r>
        <w:t xml:space="preserve">These are the same underlying variable — P_inj is a logistic function of the lead’s speed</w:t>
      </w:r>
      <w:r>
        <w:t xml:space="preserve"> </w:t>
      </w:r>
      <w:r>
        <w:t xml:space="preserve">change, which is half the relative impact speed. The whole discrepancy is convexity. Condition</w:t>
      </w:r>
      <w:r>
        <w:t xml:space="preserve"> </w:t>
      </w:r>
      <w:r>
        <w:t xml:space="preserve">C makes it unmistakable: its mean relative speed is 0.3%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reference while its mean</w:t>
      </w:r>
      <w:r>
        <w:t xml:space="preserve"> </w:t>
      </w:r>
      <w:r>
        <w:t xml:space="preserve">injury risk is 10.4%</w:t>
      </w:r>
      <w:r>
        <w:t xml:space="preserve"> </w:t>
      </w:r>
      <w:r>
        <w:rPr>
          <w:i/>
          <w:iCs/>
        </w:rPr>
        <w:t xml:space="preserve">above</w:t>
      </w:r>
      <w:r>
        <w:t xml:space="preserve">, which is possible only through a heavier tail.</w:t>
      </w:r>
    </w:p>
    <w:p>
      <w:pPr>
        <w:pStyle w:val="BodyText"/>
      </w:pPr>
      <w:r>
        <w:t xml:space="preserve">I argued earlier for switching to relative speed, on the grounds that it is the</w:t>
      </w:r>
      <w:r>
        <w:t xml:space="preserve"> </w:t>
      </w:r>
      <w:r>
        <w:t xml:space="preserve">assumption-free primitive and does not import an injury model calibrated on a different</w:t>
      </w:r>
      <w:r>
        <w:t xml:space="preserve"> </w:t>
      </w:r>
      <w:r>
        <w:t xml:space="preserve">population.</w:t>
      </w:r>
      <w:r>
        <w:t xml:space="preserve"> </w:t>
      </w:r>
      <w:r>
        <w:rPr>
          <w:b/>
          <w:bCs/>
        </w:rPr>
        <w:t xml:space="preserve">Jonas has decided to keep injury risk, and on reflection I think that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better call.</w:t>
      </w:r>
      <w:r>
        <w:t xml:space="preserve"> </w:t>
      </w:r>
      <w:r>
        <w:t xml:space="preserve">The argument that changed my mind is that the amplification is not a defect</w:t>
      </w:r>
      <w:r>
        <w:t xml:space="preserve"> </w:t>
      </w:r>
      <w:r>
        <w:t xml:space="preserve">in the metric — it is the metric doing its job. The purpose of a severity comparison in a</w:t>
      </w:r>
      <w:r>
        <w:t xml:space="preserve"> </w:t>
      </w:r>
      <w:r>
        <w:t xml:space="preserve">safety assessment is to characterize</w:t>
      </w:r>
      <w:r>
        <w:t xml:space="preserve"> </w:t>
      </w:r>
      <w:r>
        <w:rPr>
          <w:i/>
          <w:iCs/>
        </w:rPr>
        <w:t xml:space="preserve">harm</w:t>
      </w:r>
      <w:r>
        <w:t xml:space="preserve">, and harm is overwhelmingly concentrated in the</w:t>
      </w:r>
      <w:r>
        <w:t xml:space="preserve"> </w:t>
      </w:r>
      <w:r>
        <w:t xml:space="preserve">tail: a 12 m/s impact is not four times worse than a 3 m/s impact, it is very much more than</w:t>
      </w:r>
      <w:r>
        <w:t xml:space="preserve"> </w:t>
      </w:r>
      <w:r>
        <w:t xml:space="preserve">that. A metric that reports condition C as 0.3% off understates a model that is</w:t>
      </w:r>
      <w:r>
        <w:t xml:space="preserve"> </w:t>
      </w:r>
      <w:r>
        <w:t xml:space="preserve">systematically producing a heavier severe tail, and a metric that reports it as 10.4% off is</w:t>
      </w:r>
      <w:r>
        <w:t xml:space="preserve"> </w:t>
      </w:r>
      <w:r>
        <w:t xml:space="preserve">telling us something we need to know. Relative speed is the better</w:t>
      </w:r>
      <w:r>
        <w:t xml:space="preserve"> </w:t>
      </w:r>
      <w:r>
        <w:rPr>
          <w:i/>
          <w:iCs/>
        </w:rPr>
        <w:t xml:space="preserve">primitive</w:t>
      </w:r>
      <w:r>
        <w:t xml:space="preserve">; injury risk</w:t>
      </w:r>
      <w:r>
        <w:t xml:space="preserve"> </w:t>
      </w:r>
      <w:r>
        <w:t xml:space="preserve">is the better</w:t>
      </w:r>
      <w:r>
        <w:t xml:space="preserve"> </w:t>
      </w:r>
      <w:r>
        <w:rPr>
          <w:i/>
          <w:iCs/>
        </w:rPr>
        <w:t xml:space="preserve">criterion</w:t>
      </w:r>
      <w:r>
        <w:t xml:space="preserve">.</w:t>
      </w:r>
    </w:p>
    <w:p>
      <w:pPr>
        <w:pStyle w:val="BodyText"/>
      </w:pPr>
      <w:r>
        <w:t xml:space="preserve">Two consequences we accept along with it. Aggregate errors will look larger than a</w:t>
      </w:r>
      <w:r>
        <w:t xml:space="preserve"> </w:t>
      </w:r>
      <w:r>
        <w:t xml:space="preserve">speed-based reporting would suggest, and that is correct rather than pessimistic. Further,</w:t>
      </w:r>
      <w:r>
        <w:t xml:space="preserve"> </w:t>
      </w:r>
      <w:r>
        <w:t xml:space="preserve">P_inj inherits the Wang (2022) model and the deposit’s equal-mass assumption, so the number</w:t>
      </w:r>
      <w:r>
        <w:t xml:space="preserve"> </w:t>
      </w:r>
      <w:r>
        <w:t xml:space="preserve">is only as good as those; we therefore continue to report relative impact speed alongside it</w:t>
      </w:r>
      <w:r>
        <w:t xml:space="preserve"> </w:t>
      </w:r>
      <w:r>
        <w:t xml:space="preserve">as the assumption-free check, exactly as the results document already does.</w:t>
      </w:r>
    </w:p>
    <w:bookmarkEnd w:id="28"/>
    <w:bookmarkEnd w:id="29"/>
    <w:bookmarkStart w:id="30" w:name="questions-i-would-ask-the-authors"/>
    <w:p>
      <w:pPr>
        <w:pStyle w:val="Heading2"/>
      </w:pPr>
      <w:r>
        <w:t xml:space="preserve">6 Questions I would ask the authors</w:t>
      </w:r>
    </w:p>
    <w:p>
      <w:pPr>
        <w:pStyle w:val="Compact"/>
        <w:numPr>
          <w:ilvl w:val="0"/>
          <w:numId w:val="1007"/>
        </w:numPr>
      </w:pPr>
      <w:r>
        <w:t xml:space="preserve">Since P0 and θthd are mathematically the same degree of freedom (§4.1), is the intended</w:t>
      </w:r>
      <w:r>
        <w:t xml:space="preserve"> </w:t>
      </w:r>
      <w:r>
        <w:t xml:space="preserve">practice to fix P0 externally and treat θthd as the free choice, or the reverse? We have</w:t>
      </w:r>
      <w:r>
        <w:t xml:space="preserve"> </w:t>
      </w:r>
      <w:r>
        <w:t xml:space="preserve">taken the second route — uniform weights, threshold derived — and would like to know</w:t>
      </w:r>
      <w:r>
        <w:t xml:space="preserve"> </w:t>
      </w:r>
      <w:r>
        <w:t xml:space="preserve">whether that is a reasonable reading of the framework.</w:t>
      </w:r>
    </w:p>
    <w:p>
      <w:pPr>
        <w:pStyle w:val="Compact"/>
        <w:numPr>
          <w:ilvl w:val="0"/>
          <w:numId w:val="1007"/>
        </w:numPr>
      </w:pPr>
      <w:r>
        <w:t xml:space="preserve">When the study is a comparison of two candidate models rather than an assessment of one</w:t>
      </w:r>
      <w:r>
        <w:t xml:space="preserve"> </w:t>
      </w:r>
      <w:r>
        <w:t xml:space="preserve">system, is there a recommended way to define ω so that θ stays comparable across the</w:t>
      </w:r>
      <w:r>
        <w:t xml:space="preserve"> </w:t>
      </w:r>
      <w:r>
        <w:t xml:space="preserve">candidates? Electing one of the compared models to define the weights seems circular to</w:t>
      </w:r>
      <w:r>
        <w:t xml:space="preserve"> </w:t>
      </w:r>
      <w:r>
        <w:t xml:space="preserve">us, which is why we ended up with uniform weights.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 the aggregate (§3.2)</w:t>
      </w:r>
      <w:r>
        <w:t xml:space="preserve">: is it intended that θ and Θ do not constrain the within-bin</w:t>
      </w:r>
      <w:r>
        <w:t xml:space="preserve"> </w:t>
      </w:r>
      <w:r>
        <w:t xml:space="preserve">distribution, so that a synthetic dataset can satisfy both while its injury-weighted mean</w:t>
      </w:r>
      <w:r>
        <w:t xml:space="preserve"> </w:t>
      </w:r>
      <w:r>
        <w:t xml:space="preserve">is materially wrong? In our case the actual error is +12.6% where the binned</w:t>
      </w:r>
      <w:r>
        <w:t xml:space="preserve"> </w:t>
      </w:r>
      <w:r>
        <w:t xml:space="preserve">approximation is −2.7%, concentrated in the open-ended top bin. If that is a known</w:t>
      </w:r>
      <w:r>
        <w:t xml:space="preserve"> </w:t>
      </w:r>
      <w:r>
        <w:t xml:space="preserve">property, is bounding the top bin the recommended remedy, or is the aggregate expected to</w:t>
      </w:r>
      <w:r>
        <w:t xml:space="preserve"> </w:t>
      </w:r>
      <w:r>
        <w:t xml:space="preserve">be reported separately as we now do?</w:t>
      </w:r>
    </w:p>
    <w:p>
      <w:pPr>
        <w:pStyle w:val="Compact"/>
        <w:numPr>
          <w:ilvl w:val="0"/>
          <w:numId w:val="1007"/>
        </w:numPr>
      </w:pPr>
      <w:r>
        <w:t xml:space="preserve">Is the near-zero null pass rate at n_ref = 200 (the demonstration’s own size) consistent</w:t>
      </w:r>
      <w:r>
        <w:t xml:space="preserve"> </w:t>
      </w:r>
      <w:r>
        <w:t xml:space="preserve">with your experience, or does the parametric posterior tighten the HDIs enough to remove</w:t>
      </w:r>
      <w:r>
        <w:t xml:space="preserve"> </w:t>
      </w:r>
      <w:r>
        <w:t xml:space="preserve">it? This is the strongest argument for getting access to</w:t>
      </w:r>
      <w:r>
        <w:t xml:space="preserve"> </w:t>
      </w:r>
      <w:r>
        <w:rPr>
          <w:rStyle w:val="VerbatimChar"/>
        </w:rPr>
        <w:t xml:space="preserve">bayes-binned-equivalence</w:t>
      </w:r>
      <w:r>
        <w:t xml:space="preserve">,</w:t>
      </w:r>
      <w:r>
        <w:t xml:space="preserve"> </w:t>
      </w:r>
      <w:r>
        <w:t xml:space="preserve">which the draft email already requests.</w:t>
      </w:r>
    </w:p>
    <w:p>
      <w:pPr>
        <w:pStyle w:val="Compact"/>
        <w:numPr>
          <w:ilvl w:val="0"/>
          <w:numId w:val="1007"/>
        </w:numPr>
      </w:pPr>
      <w:r>
        <w:t xml:space="preserve">Is there guidance for metrics whose reference distribution has a large atom, where</w:t>
      </w:r>
      <w:r>
        <w:t xml:space="preserve"> </w:t>
      </w:r>
      <w:r>
        <w:t xml:space="preserve">quantile binning degenerates?</w:t>
      </w:r>
    </w:p>
    <w:bookmarkEnd w:id="30"/>
    <w:bookmarkStart w:id="31" w:name="what-this-does-not-change"/>
    <w:p>
      <w:pPr>
        <w:pStyle w:val="Heading2"/>
      </w:pPr>
      <w:r>
        <w:t xml:space="preserve">7 What this does not change</w:t>
      </w:r>
    </w:p>
    <w:p>
      <w:pPr>
        <w:pStyle w:val="FirstParagraph"/>
      </w:pPr>
      <w:r>
        <w:t xml:space="preserve">The comparison our study actually rests on is the</w:t>
      </w:r>
      <w:r>
        <w:t xml:space="preserve"> </w:t>
      </w:r>
      <w:r>
        <w:rPr>
          <w:b/>
          <w:bCs/>
        </w:rPr>
        <w:t xml:space="preserve">ordering</w:t>
      </w:r>
      <w:r>
        <w:t xml:space="preserve"> </w:t>
      </w:r>
      <w:r>
        <w:t xml:space="preserve">of conditions, not the</w:t>
      </w:r>
      <w:r>
        <w:t xml:space="preserve"> </w:t>
      </w:r>
      <w:r>
        <w:t xml:space="preserve">pass/fail verdict: condition B lands closer to the reference than condition C on identical</w:t>
      </w:r>
      <w:r>
        <w:t xml:space="preserve"> </w:t>
      </w:r>
      <w:r>
        <w:t xml:space="preserve">bins, identical weights and identical noise, and the study moved from a factor of 14 to a</w:t>
      </w:r>
      <w:r>
        <w:t xml:space="preserve"> </w:t>
      </w:r>
      <w:r>
        <w:t xml:space="preserve">factor of 1.5 through methodological corrections. Every concern in this note applies</w:t>
      </w:r>
      <w:r>
        <w:t xml:space="preserve"> </w:t>
      </w:r>
      <w:r>
        <w:t xml:space="preserve">equally to both conditions, so none of it disturbs that comparison. What it does change is</w:t>
      </w:r>
      <w:r>
        <w:t xml:space="preserve"> </w:t>
      </w:r>
      <w:r>
        <w:t xml:space="preserve">how the absolute verdict should be reported — as</w:t>
      </w:r>
      <w:r>
        <w:t xml:space="preserve"> </w:t>
      </w:r>
      <w:r>
        <w:t xml:space="preserve">“not equivalent under the strictest</w:t>
      </w:r>
      <w:r>
        <w:t xml:space="preserve"> </w:t>
      </w:r>
      <w:r>
        <w:t xml:space="preserve">reading of the criteria, with the criteria at the resolution limit of the reference”</w:t>
      </w:r>
      <w:r>
        <w:t xml:space="preserve"> </w:t>
      </w:r>
      <w:r>
        <w:t xml:space="preserve">rather than as a plain failure.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2026-08-26T19:15:19Z</dcterms:created>
  <dcterms:modified xsi:type="dcterms:W3CDTF">2026-08-26T19:15:19Z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