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dfd18481813209b23a2e1ad71c5a19ba698870"/>
    <w:p>
      <w:pPr>
        <w:pStyle w:val="Heading1"/>
      </w:pPr>
      <w:r>
        <w:t xml:space="preserve">Why severity matches while timing and braking do not</w:t>
      </w:r>
    </w:p>
    <w:p>
      <w:pPr>
        <w:pStyle w:val="FirstParagraph"/>
      </w:pPr>
      <w:r>
        <w:rPr>
          <w:i/>
          <w:iCs/>
        </w:rPr>
        <w:t xml:space="preserve">Written 2026-08-26. Companion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docs/crash_causation_results.md</w:t>
      </w:r>
      <w:r>
        <w:rPr>
          <w:i/>
          <w:iCs/>
        </w:rPr>
        <w:t xml:space="preserve">, which reports the</w:t>
      </w:r>
      <w:r>
        <w:rPr>
          <w:i/>
          <w:iCs/>
        </w:rPr>
        <w:t xml:space="preserve"> </w:t>
      </w:r>
      <w:r>
        <w:rPr>
          <w:i/>
          <w:iCs/>
        </w:rPr>
        <w:t xml:space="preserve">numbers this document explains. Parts of it are intended for the handbook (chapter 08).</w:t>
      </w:r>
      <w:r>
        <w:rPr>
          <w:i/>
          <w:iCs/>
        </w:rPr>
        <w:t xml:space="preserve"> </w:t>
      </w:r>
      <w:r>
        <w:rPr>
          <w:i/>
          <w:iCs/>
        </w:rPr>
        <w:t xml:space="preserve">Figures are 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replication/causation/make_dissociation_figure.py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replication/causation/severity_vs_timing.py</w:t>
      </w:r>
      <w:r>
        <w:rPr>
          <w:i/>
          <w:iCs/>
        </w:rPr>
        <w:t xml:space="preserve">; every number below comes from the</w:t>
      </w:r>
      <w:r>
        <w:rPr>
          <w:i/>
          <w:iCs/>
        </w:rPr>
        <w:t xml:space="preserve"> </w:t>
      </w:r>
      <w:r>
        <w:rPr>
          <w:i/>
          <w:iCs/>
        </w:rPr>
        <w:t xml:space="preserve">full-population runs on all 5 000 QUADRIS seeds.</w:t>
      </w:r>
    </w:p>
    <w:bookmarkStart w:id="9" w:name="the-puzzle"/>
    <w:p>
      <w:pPr>
        <w:pStyle w:val="Heading2"/>
      </w:pPr>
      <w:r>
        <w:t xml:space="preserve">The puzzle</w:t>
      </w:r>
    </w:p>
    <w:p>
      <w:pPr>
        <w:pStyle w:val="FirstParagraph"/>
      </w:pPr>
      <w:r>
        <w:t xml:space="preserve">The full-population readout for condition B (active inference with all five causation</w:t>
      </w:r>
      <w:r>
        <w:t xml:space="preserve"> </w:t>
      </w:r>
      <w:r>
        <w:t xml:space="preserve">components) against the QUADRIS reference looks internally inconsistent at first reading:</w:t>
      </w:r>
    </w:p>
    <w:p>
      <w:pPr>
        <w:pStyle w:val="BodyText"/>
      </w:pPr>
      <w:r>
        <w:rPr>
          <w:i/>
          <w:iCs/>
        </w:rPr>
        <w:t xml:space="preserve">The thresholds quoted in the table below are Wu’s published pair, which is what the study</w:t>
      </w:r>
      <w:r>
        <w:rPr>
          <w:i/>
          <w:iCs/>
        </w:rPr>
        <w:t xml:space="preserve"> </w:t>
      </w:r>
      <w:r>
        <w:rPr>
          <w:i/>
          <w:iCs/>
        </w:rPr>
        <w:t xml:space="preserve">used when this puzzle surfaced. The project has since derived its own (θthd = 0.188,</w:t>
      </w:r>
      <w:r>
        <w:rPr>
          <w:i/>
          <w:iCs/>
        </w:rPr>
        <w:t xml:space="preserve"> </w:t>
      </w:r>
      <w:r>
        <w:rPr>
          <w:i/>
          <w:iCs/>
        </w:rPr>
        <w:t xml:space="preserve">Θthd = 0.089) and settled how the reference is treated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docs/equivalence_rope_note.md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Nothing in this document’s argument depends on the threshold: the puzzle is why the metrics</w:t>
      </w:r>
      <w:r>
        <w:rPr>
          <w:i/>
          <w:iCs/>
        </w:rPr>
        <w:t xml:space="preserve"> </w:t>
      </w:r>
      <w:r>
        <w:rPr>
          <w:i/>
          <w:iCs/>
        </w:rPr>
        <w:t xml:space="preserve">disagree with each other, not where any of them falls relative to a line.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θ</w:t>
            </w:r>
          </w:p>
        </w:tc>
        <w:tc>
          <w:tcPr/>
          <w:p>
            <w:pPr>
              <w:pStyle w:val="Compact"/>
            </w:pPr>
            <w:r>
              <w:t xml:space="preserve">Θ</w:t>
            </w:r>
          </w:p>
        </w:tc>
        <w:tc>
          <w:tcPr/>
          <w:p>
            <w:pPr>
              <w:pStyle w:val="Compact"/>
            </w:pPr>
            <w:r>
              <w:t xml:space="preserve">verdict against ROPE 0.10 / 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 (P_inj, v_rel, dv_lead)</w:t>
            </w:r>
          </w:p>
        </w:tc>
        <w:tc>
          <w:tcPr/>
          <w:p>
            <w:pPr>
              <w:pStyle w:val="Compact"/>
            </w:pPr>
            <w:r>
              <w:t xml:space="preserve">0.148</w:t>
            </w:r>
          </w:p>
        </w:tc>
        <w:tc>
          <w:tcPr/>
          <w:p>
            <w:pPr>
              <w:pStyle w:val="Compact"/>
            </w:pPr>
            <w:r>
              <w:t xml:space="preserve">0.091</w:t>
            </w:r>
          </w:p>
        </w:tc>
        <w:tc>
          <w:tcPr/>
          <w:p>
            <w:pPr>
              <w:pStyle w:val="Compact"/>
            </w:pPr>
            <w:r>
              <w:t xml:space="preserve">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urgency (t_nr)</w:t>
            </w:r>
          </w:p>
        </w:tc>
        <w:tc>
          <w:tcPr/>
          <w:p>
            <w:pPr>
              <w:pStyle w:val="Compact"/>
            </w:pPr>
            <w:r>
              <w:t xml:space="preserve">0.419</w:t>
            </w:r>
          </w:p>
        </w:tc>
        <w:tc>
          <w:tcPr/>
          <w:p>
            <w:pPr>
              <w:pStyle w:val="Compact"/>
            </w:pPr>
            <w:r>
              <w:t xml:space="preserve">0.296</w:t>
            </w:r>
          </w:p>
        </w:tc>
        <w:tc>
          <w:tcPr/>
          <w:p>
            <w:pPr>
              <w:pStyle w:val="Compact"/>
            </w:pPr>
            <w:r>
              <w:t xml:space="preserve">far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braking (a_l,min)</w:t>
            </w:r>
          </w:p>
        </w:tc>
        <w:tc>
          <w:tcPr/>
          <w:p>
            <w:pPr>
              <w:pStyle w:val="Compact"/>
            </w:pPr>
            <w:r>
              <w:t xml:space="preserve">0.314</w:t>
            </w:r>
          </w:p>
        </w:tc>
        <w:tc>
          <w:tcPr/>
          <w:p>
            <w:pPr>
              <w:pStyle w:val="Compact"/>
            </w:pPr>
            <w:r>
              <w:t xml:space="preserve">0.096</w:t>
            </w:r>
          </w:p>
        </w:tc>
        <w:tc>
          <w:tcPr/>
          <w:p>
            <w:pPr>
              <w:pStyle w:val="Compact"/>
            </w:pPr>
            <w:r>
              <w:t xml:space="preserve">far on 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follower braking (a_f,min)</w:t>
            </w:r>
          </w:p>
        </w:tc>
        <w:tc>
          <w:tcPr/>
          <w:p>
            <w:pPr>
              <w:pStyle w:val="Compact"/>
            </w:pPr>
            <w:r>
              <w:t xml:space="preserve">1.058</w:t>
            </w:r>
          </w:p>
        </w:tc>
        <w:tc>
          <w:tcPr/>
          <w:p>
            <w:pPr>
              <w:pStyle w:val="Compact"/>
            </w:pPr>
            <w:r>
              <w:t xml:space="preserve">0.802</w:t>
            </w:r>
          </w:p>
        </w:tc>
        <w:tc>
          <w:tcPr/>
          <w:p>
            <w:pPr>
              <w:pStyle w:val="Compact"/>
            </w:pPr>
            <w:r>
              <w:t xml:space="preserve">very far</w:t>
            </w:r>
          </w:p>
        </w:tc>
      </w:tr>
    </w:tbl>
    <w:p>
      <w:pPr>
        <w:pStyle w:val="BodyText"/>
      </w:pPr>
      <w:r>
        <w:t xml:space="preserve">The question this raises is fair: how can the</w:t>
      </w:r>
      <w:r>
        <w:t xml:space="preserve"> </w:t>
      </w:r>
      <w:r>
        <w:rPr>
          <w:i/>
          <w:iCs/>
        </w:rPr>
        <w:t xml:space="preserve">outcome</w:t>
      </w:r>
      <w:r>
        <w:t xml:space="preserve"> </w:t>
      </w:r>
      <w:r>
        <w:t xml:space="preserve">of the crashes be almost right</w:t>
      </w:r>
      <w:r>
        <w:t xml:space="preserve"> </w:t>
      </w:r>
      <w:r>
        <w:t xml:space="preserve">while the</w:t>
      </w:r>
      <w:r>
        <w:t xml:space="preserve"> </w:t>
      </w:r>
      <w:r>
        <w:rPr>
          <w:i/>
          <w:iCs/>
        </w:rPr>
        <w:t xml:space="preserve">timing</w:t>
      </w:r>
      <w:r>
        <w:t xml:space="preserve"> </w:t>
      </w:r>
      <w:r>
        <w:t xml:space="preserve">of the response and the</w:t>
      </w:r>
      <w:r>
        <w:t xml:space="preserve"> </w:t>
      </w:r>
      <w:r>
        <w:rPr>
          <w:i/>
          <w:iCs/>
        </w:rPr>
        <w:t xml:space="preserve">braking</w:t>
      </w:r>
      <w:r>
        <w:t xml:space="preserve"> </w:t>
      </w:r>
      <w:r>
        <w:t xml:space="preserve">that produced them are so wrong?</w:t>
      </w:r>
      <w:r>
        <w:t xml:space="preserve"> </w:t>
      </w:r>
      <w:r>
        <w:t xml:space="preserve">Severity is, after all, produced by the timing and the braking.</w:t>
      </w:r>
    </w:p>
    <w:p>
      <w:pPr>
        <w:pStyle w:val="BodyText"/>
      </w:pPr>
      <w:r>
        <w:t xml:space="preserve">The short answer, as I read the runs, is that the four rows are not four comparable</w:t>
      </w:r>
      <w:r>
        <w:t xml:space="preserve"> </w:t>
      </w:r>
      <w:r>
        <w:t xml:space="preserve">measurements. There are three separate things going on, and only one of them is a</w:t>
      </w:r>
      <w:r>
        <w:t xml:space="preserve"> </w:t>
      </w:r>
      <w:r>
        <w:t xml:space="preserve">statement about the model: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Severity genuinely is well reproduced</w:t>
      </w:r>
      <w:r>
        <w:t xml:space="preserve">, for a reason that is mechanistic rather</w:t>
      </w:r>
      <w:r>
        <w:t xml:space="preserve"> </w:t>
      </w:r>
      <w:r>
        <w:t xml:space="preserve">than lucky: in this population, response timing determines</w:t>
      </w:r>
      <w:r>
        <w:t xml:space="preserve"> </w:t>
      </w:r>
      <w:r>
        <w:rPr>
          <w:i/>
          <w:iCs/>
        </w:rPr>
        <w:t xml:space="preserve">how many</w:t>
      </w:r>
      <w:r>
        <w:t xml:space="preserve"> </w:t>
      </w:r>
      <w:r>
        <w:t xml:space="preserve">crashes happen,</w:t>
      </w:r>
      <w:r>
        <w:t xml:space="preserve"> </w:t>
      </w:r>
      <w:r>
        <w:t xml:space="preserve">while the scenario determines</w:t>
      </w:r>
      <w:r>
        <w:t xml:space="preserve"> </w:t>
      </w:r>
      <w:r>
        <w:rPr>
          <w:i/>
          <w:iCs/>
        </w:rPr>
        <w:t xml:space="preserve">how hard</w:t>
      </w:r>
      <w:r>
        <w:t xml:space="preserve"> </w:t>
      </w:r>
      <w:r>
        <w:t xml:space="preserve">they 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t_nr and a_f,min rows are largely artifacts of the statistic</w:t>
      </w:r>
      <w:r>
        <w:t xml:space="preserve">, not measurements</w:t>
      </w:r>
      <w:r>
        <w:t xml:space="preserve"> </w:t>
      </w:r>
      <w:r>
        <w:t xml:space="preserve">of model error. θ is a worst-bin relative deviation computed on quantile bins of the</w:t>
      </w:r>
      <w:r>
        <w:t xml:space="preserve"> </w:t>
      </w:r>
      <w:r>
        <w:t xml:space="preserve">reference. That construction behaves well on a smooth continuous variable and badly on</w:t>
      </w:r>
      <w:r>
        <w:t xml:space="preserve"> </w:t>
      </w:r>
      <w:r>
        <w:t xml:space="preserve">a variable that is a discrete lattice (t_nr) or that carries a large atom (a_f,min).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Underneath the artifact there is a real but much smaller braking difference</w:t>
      </w:r>
      <w:r>
        <w:t xml:space="preserve">, which</w:t>
      </w:r>
      <w:r>
        <w:t xml:space="preserve"> </w:t>
      </w:r>
      <w:r>
        <w:t xml:space="preserve">is worth reporting — just not as θ = 1.06.</w:t>
      </w:r>
    </w:p>
    <w:bookmarkEnd w:id="9"/>
    <w:bookmarkStart w:id="13" w:name="Xde742bc7278f5adec0d0dacbab3f29888ba3591"/>
    <w:p>
      <w:pPr>
        <w:pStyle w:val="Heading2"/>
      </w:pPr>
      <w:r>
        <w:t xml:space="preserve">1 Severity and timing are close to independent in this population</w:t>
      </w:r>
    </w:p>
    <w:p>
      <w:pPr>
        <w:pStyle w:val="FirstParagraph"/>
      </w:pPr>
      <w:r>
        <w:t xml:space="preserve">The clearest evidence is a comparison across conditions that differ enormously in how</w:t>
      </w:r>
      <w:r>
        <w:t xml:space="preserve"> </w:t>
      </w:r>
      <w:r>
        <w:t xml:space="preserve">often they crash.</w:t>
      </w:r>
    </w:p>
    <w:p>
      <w:pPr>
        <w:pStyle w:val="CaptionedFigure"/>
      </w:pPr>
      <w:r>
        <w:drawing>
          <wp:inline>
            <wp:extent cx="5334000" cy="2197620"/>
            <wp:effectExtent b="0" l="0" r="0" t="0"/>
            <wp:docPr descr="Severity distributions against crash rates" title="" id="11" name="Picture"/>
            <a:graphic>
              <a:graphicData uri="http://schemas.openxmlformats.org/drawingml/2006/picture">
                <pic:pic>
                  <pic:nvPicPr>
                    <pic:cNvPr descr="causation_figures/fig_dissociation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7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Severity distributions against crash rates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weighted crash probability</w:t>
            </w:r>
          </w:p>
        </w:tc>
        <w:tc>
          <w:tcPr/>
          <w:p>
            <w:pPr>
              <w:pStyle w:val="Compact"/>
            </w:pPr>
            <w:r>
              <w:t xml:space="preserve">v_rel p25</w:t>
            </w:r>
          </w:p>
        </w:tc>
        <w:tc>
          <w:tcPr/>
          <w:p>
            <w:pPr>
              <w:pStyle w:val="Compac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  <w:r>
              <w:t xml:space="preserve">p75</w:t>
            </w:r>
          </w:p>
        </w:tc>
        <w:tc>
          <w:tcPr/>
          <w:p>
            <w:pPr>
              <w:pStyle w:val="Compact"/>
            </w:pPr>
            <w:r>
              <w:t xml:space="preserve">mean P_inj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QUADRIS reference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1.77</w:t>
            </w:r>
          </w:p>
        </w:tc>
        <w:tc>
          <w:tcPr/>
          <w:p>
            <w:pPr>
              <w:pStyle w:val="Compact"/>
            </w:pPr>
            <w:r>
              <w:t xml:space="preserve">3.54</w:t>
            </w:r>
          </w:p>
        </w:tc>
        <w:tc>
          <w:tcPr/>
          <w:p>
            <w:pPr>
              <w:pStyle w:val="Compact"/>
            </w:pPr>
            <w:r>
              <w:t xml:space="preserve">6.68</w:t>
            </w:r>
          </w:p>
        </w:tc>
        <w:tc>
          <w:tcPr/>
          <w:p>
            <w:pPr>
              <w:pStyle w:val="Compact"/>
            </w:pPr>
            <w:r>
              <w:t xml:space="preserve">0.0062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A: attentive, deceleration cap only</w:t>
            </w:r>
          </w:p>
        </w:tc>
        <w:tc>
          <w:tcPr/>
          <w:p>
            <w:pPr>
              <w:pStyle w:val="Compact"/>
            </w:pPr>
            <w:r>
              <w:t xml:space="preserve">0.156</w:t>
            </w:r>
          </w:p>
        </w:tc>
        <w:tc>
          <w:tcPr/>
          <w:p>
            <w:pPr>
              <w:pStyle w:val="Compact"/>
            </w:pPr>
            <w:r>
              <w:t xml:space="preserve">1.89</w:t>
            </w:r>
          </w:p>
        </w:tc>
        <w:tc>
          <w:tcPr/>
          <w:p>
            <w:pPr>
              <w:pStyle w:val="Compact"/>
            </w:pPr>
            <w:r>
              <w:t xml:space="preserve">2.88</w:t>
            </w:r>
          </w:p>
        </w:tc>
        <w:tc>
          <w:tcPr/>
          <w:p>
            <w:pPr>
              <w:pStyle w:val="Compact"/>
            </w:pPr>
            <w:r>
              <w:t xml:space="preserve">4.21</w:t>
            </w:r>
          </w:p>
        </w:tc>
        <w:tc>
          <w:tcPr/>
          <w:p>
            <w:pPr>
              <w:pStyle w:val="Compact"/>
            </w:pPr>
            <w:r>
              <w:t xml:space="preserve">0.0040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B: active inference + glances, cap, no-response</w:t>
            </w:r>
          </w:p>
        </w:tc>
        <w:tc>
          <w:tcPr/>
          <w:p>
            <w:pPr>
              <w:pStyle w:val="Compact"/>
            </w:pPr>
            <w:r>
              <w:t xml:space="preserve">0.280</w:t>
            </w:r>
          </w:p>
        </w:tc>
        <w:tc>
          <w:tcPr/>
          <w:p>
            <w:pPr>
              <w:pStyle w:val="Compact"/>
            </w:pPr>
            <w:r>
              <w:t xml:space="preserve">1.89</w:t>
            </w:r>
          </w:p>
        </w:tc>
        <w:tc>
          <w:tcPr/>
          <w:p>
            <w:pPr>
              <w:pStyle w:val="Compact"/>
            </w:pPr>
            <w:r>
              <w:t xml:space="preserve">3.33</w:t>
            </w:r>
          </w:p>
        </w:tc>
        <w:tc>
          <w:tcPr/>
          <w:p>
            <w:pPr>
              <w:pStyle w:val="Compact"/>
            </w:pPr>
            <w:r>
              <w:t xml:space="preserve">5.87</w:t>
            </w:r>
          </w:p>
        </w:tc>
        <w:tc>
          <w:tcPr/>
          <w:p>
            <w:pPr>
              <w:pStyle w:val="Compact"/>
            </w:pPr>
            <w:r>
              <w:t xml:space="preserve">0.0052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C: CBM control, same components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1.89</w:t>
            </w:r>
          </w:p>
        </w:tc>
        <w:tc>
          <w:tcPr/>
          <w:p>
            <w:pPr>
              <w:pStyle w:val="Compact"/>
            </w:pPr>
            <w:r>
              <w:t xml:space="preserve">3.34</w:t>
            </w:r>
          </w:p>
        </w:tc>
        <w:tc>
          <w:tcPr/>
          <w:p>
            <w:pPr>
              <w:pStyle w:val="Compact"/>
            </w:pPr>
            <w:r>
              <w:t xml:space="preserve">5.57</w:t>
            </w:r>
          </w:p>
        </w:tc>
        <w:tc>
          <w:tcPr/>
          <w:p>
            <w:pPr>
              <w:pStyle w:val="Compact"/>
            </w:pPr>
            <w:r>
              <w:t xml:space="preserve">0.0050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+ abnormal acceleration</w:t>
            </w:r>
          </w:p>
        </w:tc>
        <w:tc>
          <w:tcPr/>
          <w:p>
            <w:pPr>
              <w:pStyle w:val="Compact"/>
            </w:pPr>
            <w:r>
              <w:t xml:space="preserve">0.280</w:t>
            </w:r>
          </w:p>
        </w:tc>
        <w:tc>
          <w:tcPr/>
          <w:p>
            <w:pPr>
              <w:pStyle w:val="Compact"/>
            </w:pPr>
            <w:r>
              <w:t xml:space="preserve">1.97</w:t>
            </w:r>
          </w:p>
        </w:tc>
        <w:tc>
          <w:tcPr/>
          <w:p>
            <w:pPr>
              <w:pStyle w:val="Compact"/>
            </w:pPr>
            <w:r>
              <w:t xml:space="preserve">3.63</w:t>
            </w:r>
          </w:p>
        </w:tc>
        <w:tc>
          <w:tcPr/>
          <w:p>
            <w:pPr>
              <w:pStyle w:val="Compact"/>
            </w:pPr>
            <w:r>
              <w:t xml:space="preserve">6.49</w:t>
            </w:r>
          </w:p>
        </w:tc>
        <w:tc>
          <w:tcPr/>
          <w:p>
            <w:pPr>
              <w:pStyle w:val="Compact"/>
            </w:pPr>
            <w:r>
              <w:t xml:space="preserve">0.0069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+ abnormal acceleration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2.02</w:t>
            </w:r>
          </w:p>
        </w:tc>
        <w:tc>
          <w:tcPr/>
          <w:p>
            <w:pPr>
              <w:pStyle w:val="Compact"/>
            </w:pPr>
            <w:r>
              <w:t xml:space="preserve">3.63</w:t>
            </w:r>
          </w:p>
        </w:tc>
        <w:tc>
          <w:tcPr/>
          <w:p>
            <w:pPr>
              <w:pStyle w:val="Compact"/>
            </w:pPr>
            <w:r>
              <w:t xml:space="preserve">6.18</w:t>
            </w:r>
          </w:p>
        </w:tc>
        <w:tc>
          <w:tcPr/>
          <w:p>
            <w:pPr>
              <w:pStyle w:val="Compact"/>
            </w:pPr>
            <w:r>
              <w:t xml:space="preserve">0.0068</w:t>
            </w:r>
          </w:p>
        </w:tc>
      </w:tr>
    </w:tbl>
    <w:p>
      <w:pPr>
        <w:pStyle w:val="BodyText"/>
      </w:pPr>
      <w:r>
        <w:t xml:space="preserve">Conditions B and C differ by a factor of 4.7 in crash probability (0.280 against 0.059)</w:t>
      </w:r>
      <w:r>
        <w:t xml:space="preserve"> </w:t>
      </w:r>
      <w:r>
        <w:t xml:space="preserve">because their response processes differ: the active-inference accumulator’s attentive</w:t>
      </w:r>
      <w:r>
        <w:t xml:space="preserve"> </w:t>
      </w:r>
      <w:r>
        <w:t xml:space="preserve">onsets sit at a median 1.25 s after the τ⁻¹ = 0.2 anchor, against the CBM’s fixed 0.50 s.</w:t>
      </w:r>
      <w:r>
        <w:t xml:space="preserve"> </w:t>
      </w:r>
      <w:r>
        <w:t xml:space="preserve">That is a large timing difference, and it produces a large difference in crash count.</w:t>
      </w:r>
      <w:r>
        <w:t xml:space="preserve"> </w:t>
      </w:r>
      <w:r>
        <w:t xml:space="preserve">It produces almost no difference in severity: the quartiles agree to within 0.30 m/s and</w:t>
      </w:r>
      <w:r>
        <w:t xml:space="preserve"> </w:t>
      </w:r>
      <w:r>
        <w:t xml:space="preserve">the mean injury risk to within 4%.</w:t>
      </w:r>
    </w:p>
    <w:p>
      <w:pPr>
        <w:pStyle w:val="BodyText"/>
      </w:pPr>
      <w:r>
        <w:t xml:space="preserve">The same point appears inside condition B. Splitting its crashes into quintiles of</w:t>
      </w:r>
      <w:r>
        <w:t xml:space="preserve"> </w:t>
      </w:r>
      <w:r>
        <w:t xml:space="preserve">response-onset delay and asking how severe each quintile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onset delay vs anchor [s]</w:t>
            </w:r>
          </w:p>
        </w:tc>
        <w:tc>
          <w:tcPr/>
          <w:p>
            <w:pPr>
              <w:pStyle w:val="Compact"/>
            </w:pPr>
            <w:r>
              <w:t xml:space="preserve">weighted median v_rel [m/s]</w:t>
            </w:r>
          </w:p>
        </w:tc>
        <w:tc>
          <w:tcPr/>
          <w:p>
            <w:pPr>
              <w:pStyle w:val="Compact"/>
            </w:pPr>
            <w:r>
              <w:t xml:space="preserve">mean P_inj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−0.50 … 1.05</w:t>
            </w:r>
          </w:p>
        </w:tc>
        <w:tc>
          <w:tcPr/>
          <w:p>
            <w:pPr>
              <w:pStyle w:val="Compact"/>
            </w:pPr>
            <w:r>
              <w:t xml:space="preserve">4.14</w:t>
            </w:r>
          </w:p>
        </w:tc>
        <w:tc>
          <w:tcPr/>
          <w:p>
            <w:pPr>
              <w:pStyle w:val="Compact"/>
            </w:pPr>
            <w:r>
              <w:t xml:space="preserve">0.0052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1.05 … 1.45</w:t>
            </w:r>
          </w:p>
        </w:tc>
        <w:tc>
          <w:tcPr/>
          <w:p>
            <w:pPr>
              <w:pStyle w:val="Compact"/>
            </w:pPr>
            <w:r>
              <w:t xml:space="preserve">3.35</w:t>
            </w:r>
          </w:p>
        </w:tc>
        <w:tc>
          <w:tcPr/>
          <w:p>
            <w:pPr>
              <w:pStyle w:val="Compact"/>
            </w:pPr>
            <w:r>
              <w:t xml:space="preserve">0.0046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1.45 … 1.90</w:t>
            </w:r>
          </w:p>
        </w:tc>
        <w:tc>
          <w:tcPr/>
          <w:p>
            <w:pPr>
              <w:pStyle w:val="Compact"/>
            </w:pPr>
            <w:r>
              <w:t xml:space="preserve">3.90</w:t>
            </w:r>
          </w:p>
        </w:tc>
        <w:tc>
          <w:tcPr/>
          <w:p>
            <w:pPr>
              <w:pStyle w:val="Compact"/>
            </w:pPr>
            <w:r>
              <w:t xml:space="preserve">0.0053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1.90 … 2.85</w:t>
            </w:r>
          </w:p>
        </w:tc>
        <w:tc>
          <w:tcPr/>
          <w:p>
            <w:pPr>
              <w:pStyle w:val="Compact"/>
            </w:pPr>
            <w:r>
              <w:t xml:space="preserve">3.78</w:t>
            </w:r>
          </w:p>
        </w:tc>
        <w:tc>
          <w:tcPr/>
          <w:p>
            <w:pPr>
              <w:pStyle w:val="Compact"/>
            </w:pPr>
            <w:r>
              <w:t xml:space="preserve">0.0054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2.85 … 5.35</w:t>
            </w:r>
          </w:p>
        </w:tc>
        <w:tc>
          <w:tcPr/>
          <w:p>
            <w:pPr>
              <w:pStyle w:val="Compact"/>
            </w:pPr>
            <w:r>
              <w:t xml:space="preserve">2.15</w:t>
            </w:r>
          </w:p>
        </w:tc>
        <w:tc>
          <w:tcPr/>
          <w:p>
            <w:pPr>
              <w:pStyle w:val="Compact"/>
            </w:pPr>
            <w:r>
              <w:t xml:space="preserve">0.0043</w:t>
            </w:r>
          </w:p>
        </w:tc>
      </w:tr>
    </w:tbl>
    <w:p>
      <w:pPr>
        <w:pStyle w:val="BodyText"/>
      </w:pPr>
      <w:r>
        <w:t xml:space="preserve">The relationship is not monotone and the spread in mean injury risk across the whole range</w:t>
      </w:r>
      <w:r>
        <w:t xml:space="preserve"> </w:t>
      </w:r>
      <w:r>
        <w:t xml:space="preserve">of onset delays is about 20%, against a five-fold range in the delay itself. A variance</w:t>
      </w:r>
      <w:r>
        <w:t xml:space="preserve"> </w:t>
      </w:r>
      <w:r>
        <w:t xml:space="preserve">decomposition says the same thing:</w:t>
      </w:r>
      <w:r>
        <w:t xml:space="preserve"> </w:t>
      </w:r>
      <w:r>
        <w:rPr>
          <w:b/>
          <w:bCs/>
        </w:rPr>
        <w:t xml:space="preserve">71% of the variance in relative impact speed is</w:t>
      </w:r>
      <w:r>
        <w:rPr>
          <w:b/>
          <w:bCs/>
        </w:rPr>
        <w:t xml:space="preserve"> </w:t>
      </w:r>
      <w:r>
        <w:rPr>
          <w:b/>
          <w:bCs/>
        </w:rPr>
        <w:t xml:space="preserve">between-seed</w:t>
      </w:r>
      <w:r>
        <w:t xml:space="preserve">, that is, inherited from the scenario, leaving 29% to the response timing</w:t>
      </w:r>
      <w:r>
        <w:t xml:space="preserve"> </w:t>
      </w:r>
      <w:r>
        <w:t xml:space="preserve">and the Monte Carlo draws combined.</w:t>
      </w:r>
    </w:p>
    <w:p>
      <w:pPr>
        <w:pStyle w:val="BodyText"/>
      </w:pPr>
      <w:r>
        <w:rPr>
          <w:b/>
          <w:bCs/>
        </w:rPr>
        <w:t xml:space="preserve">Why this happens.</w:t>
      </w:r>
      <w:r>
        <w:t xml:space="preserve"> </w:t>
      </w:r>
      <w:r>
        <w:t xml:space="preserve">Two mechanisms seem to me to be at work, and they reinforce each</w:t>
      </w:r>
      <w:r>
        <w:t xml:space="preserve"> </w:t>
      </w:r>
      <w:r>
        <w:t xml:space="preserve">other. First, all conditions run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5 000 seeds, so everything the outcome</w:t>
      </w:r>
      <w:r>
        <w:t xml:space="preserve"> </w:t>
      </w:r>
      <w:r>
        <w:t xml:space="preserve">inherits from the scenario — the lead’s braking profile, the initial gap and speed — is</w:t>
      </w:r>
      <w:r>
        <w:t xml:space="preserve"> </w:t>
      </w:r>
      <w:r>
        <w:t xml:space="preserve">matched by construction. Second, and more interestingly, impact severity saturates. Once</w:t>
      </w:r>
      <w:r>
        <w:t xml:space="preserve"> </w:t>
      </w:r>
      <w:r>
        <w:t xml:space="preserve">the response is late enough to produce a crash at all, being later adds little, because</w:t>
      </w:r>
      <w:r>
        <w:t xml:space="preserve"> </w:t>
      </w:r>
      <w:r>
        <w:t xml:space="preserve">the closing speed is already close to what the geometry allows. Responding earlier does</w:t>
      </w:r>
      <w:r>
        <w:t xml:space="preserve"> </w:t>
      </w:r>
      <w:r>
        <w:t xml:space="preserve">not make crashes milder so much as it removes them: the crashes that an earlier response</w:t>
      </w:r>
      <w:r>
        <w:t xml:space="preserve"> </w:t>
      </w:r>
      <w:r>
        <w:t xml:space="preserve">eliminates are drawn from across the severity range, not from its top.</w:t>
      </w:r>
    </w:p>
    <w:p>
      <w:pPr>
        <w:pStyle w:val="BodyText"/>
      </w:pPr>
      <w:r>
        <w:t xml:space="preserve">There is a corollary worth stating, because it cuts against a natural intuition:</w:t>
      </w:r>
      <w:r>
        <w:t xml:space="preserve"> </w:t>
      </w:r>
      <w:r>
        <w:rPr>
          <w:b/>
          <w:bCs/>
        </w:rPr>
        <w:t xml:space="preserve">condition A is the exception that proves the rule.</w:t>
      </w:r>
      <w:r>
        <w:t xml:space="preserve"> </w:t>
      </w:r>
      <w:r>
        <w:t xml:space="preserve">The attentive driver’s crashes are</w:t>
      </w:r>
      <w:r>
        <w:t xml:space="preserve"> </w:t>
      </w:r>
      <w:r>
        <w:t xml:space="preserve">visibly milder (p75 = 4.21 against 5.87, mean P_inj 0.0040 against 0.0052). That is not a</w:t>
      </w:r>
      <w:r>
        <w:t xml:space="preserve"> </w:t>
      </w:r>
      <w:r>
        <w:t xml:space="preserve">timing effect either — A differs from B by having no glances and no no-response class, so</w:t>
      </w:r>
      <w:r>
        <w:t xml:space="preserve"> </w:t>
      </w:r>
      <w:r>
        <w:t xml:space="preserve">its crashes are all cases where a fully attentive driver braked and still hit. Severity in</w:t>
      </w:r>
      <w:r>
        <w:t xml:space="preserve"> </w:t>
      </w:r>
      <w:r>
        <w:t xml:space="preserve">this population responds to</w:t>
      </w:r>
      <w:r>
        <w:t xml:space="preserve"> </w:t>
      </w:r>
      <w:r>
        <w:rPr>
          <w:i/>
          <w:iCs/>
        </w:rPr>
        <w:t xml:space="preserve">whether the follower brakes at all</w:t>
      </w:r>
      <w:r>
        <w:t xml:space="preserve">, which is a question</w:t>
      </w:r>
      <w:r>
        <w:t xml:space="preserve"> </w:t>
      </w:r>
      <w:r>
        <w:t xml:space="preserve">about the causation components, not to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it brakes, which is the question the</w:t>
      </w:r>
      <w:r>
        <w:t xml:space="preserve"> </w:t>
      </w:r>
      <w:r>
        <w:t xml:space="preserve">response models disagree about. The abnormal-acceleration component moves severity most of</w:t>
      </w:r>
      <w:r>
        <w:t xml:space="preserve"> </w:t>
      </w:r>
      <w:r>
        <w:t xml:space="preserve">all (median 3.33 → 3.63 m/s, mean P_inj 0.0052 → 0.0069), for the same reason: the</w:t>
      </w:r>
      <w:r>
        <w:t xml:space="preserve"> </w:t>
      </w:r>
      <w:r>
        <w:t xml:space="preserve">follower is accelerating into the conflict rather than braking late into it.</w:t>
      </w:r>
    </w:p>
    <w:p>
      <w:pPr>
        <w:pStyle w:val="BodyText"/>
      </w:pPr>
      <w:r>
        <w:t xml:space="preserve">So severity and response timing are measuring close to orthogonal things here. A model can</w:t>
      </w:r>
      <w:r>
        <w:t xml:space="preserve"> </w:t>
      </w:r>
      <w:r>
        <w:t xml:space="preserve">be right about one and wrong about the other without contradiction.</w:t>
      </w:r>
    </w:p>
    <w:bookmarkEnd w:id="13"/>
    <w:bookmarkStart w:id="17" w:name="Xbde4bd66ca21113b8d0f9d08626edbda089d65d"/>
    <w:p>
      <w:pPr>
        <w:pStyle w:val="Heading2"/>
      </w:pPr>
      <w:r>
        <w:t xml:space="preserve">2 Three of the four metrics are the wrong shape for θ</w:t>
      </w:r>
    </w:p>
    <w:p>
      <w:pPr>
        <w:pStyle w:val="FirstParagraph"/>
      </w:pPr>
      <w:r>
        <w:t xml:space="preserve">The second half of the explanation is that θ is not doing the same job in each row.</w:t>
      </w:r>
    </w:p>
    <w:p>
      <w:pPr>
        <w:pStyle w:val="CaptionedFigure"/>
      </w:pPr>
      <w:r>
        <w:drawing>
          <wp:inline>
            <wp:extent cx="5334000" cy="1677629"/>
            <wp:effectExtent b="0" l="0" r="0" t="0"/>
            <wp:docPr descr="The same statistic on three kinds of distribution" title="" id="15" name="Picture"/>
            <a:graphic>
              <a:graphicData uri="http://schemas.openxmlformats.org/drawingml/2006/picture">
                <pic:pic>
                  <pic:nvPicPr>
                    <pic:cNvPr descr="causation_figures/fig_metric_shape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7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statistic on three kinds of distribution</w:t>
      </w:r>
    </w:p>
    <w:p>
      <w:pPr>
        <w:pStyle w:val="BodyText"/>
      </w:pPr>
      <w:r>
        <w:t xml:space="preserve">Recall the construction: cut the reference into N quantile bins, apply the same edges to</w:t>
      </w:r>
      <w:r>
        <w:t xml:space="preserve"> </w:t>
      </w:r>
      <w:r>
        <w:t xml:space="preserve">the model output, and take θ = max_i |ΔP_i / P_ref,i|. This assumes the reference can</w:t>
      </w:r>
      <w:r>
        <w:t xml:space="preserve"> </w:t>
      </w:r>
      <w:r>
        <w:t xml:space="preserve">actually be cut into N pieces of equal weight. When it cannot, the statistic reports the</w:t>
      </w:r>
      <w:r>
        <w:t xml:space="preserve"> </w:t>
      </w:r>
      <w:r>
        <w:t xml:space="preserve">failure of that assumption as if it were model error.</w:t>
      </w:r>
    </w:p>
    <w:p>
      <w:pPr>
        <w:pStyle w:val="BodyText"/>
      </w:pPr>
      <w:r>
        <w:rPr>
          <w:b/>
          <w:bCs/>
        </w:rPr>
        <w:t xml:space="preserve">Severity is smooth and continuous.</w:t>
      </w:r>
      <w:r>
        <w:t xml:space="preserve"> </w:t>
      </w:r>
      <w:r>
        <w:t xml:space="preserve">The bin edges land at 1.48, 2.84, 4.45 and 7.7 m/s,</w:t>
      </w:r>
      <w:r>
        <w:t xml:space="preserve"> </w:t>
      </w:r>
      <w:r>
        <w:t xml:space="preserve">each bin holds almost exactly 20% of the reference, and the model’s shares are 0.174,</w:t>
      </w:r>
      <w:r>
        <w:t xml:space="preserve"> </w:t>
      </w:r>
      <w:r>
        <w:t xml:space="preserve">0.205, 0.212, 0.229, 0.180. θ = 0.148 is a real, interpretable statement: the worst bin is</w:t>
      </w:r>
      <w:r>
        <w:t xml:space="preserve"> </w:t>
      </w:r>
      <w:r>
        <w:t xml:space="preserve">misallocated by 15% of its proper share. This row can be trusted.</w:t>
      </w:r>
    </w:p>
    <w:p>
      <w:pPr>
        <w:pStyle w:val="BodyText"/>
      </w:pPr>
      <w:r>
        <w:rPr>
          <w:b/>
          <w:bCs/>
        </w:rPr>
        <w:t xml:space="preserve">t_nr is a discrete lattice.</w:t>
      </w:r>
      <w:r>
        <w:t xml:space="preserve"> </w:t>
      </w:r>
      <w:r>
        <w:t xml:space="preserve">The no-return time is computed on the QUADRIS 20 Hz grid,</w:t>
      </w:r>
      <w:r>
        <w:t xml:space="preserve"> </w:t>
      </w:r>
      <w:r>
        <w:t xml:space="preserve">and its reference distribution is a picket fence of spikes at multiples of 0.05 s — just</w:t>
      </w:r>
      <w:r>
        <w:t xml:space="preserve"> </w:t>
      </w:r>
      <w:r>
        <w:rPr>
          <w:b/>
          <w:bCs/>
        </w:rPr>
        <w:t xml:space="preserve">25 distinct values in the entire reference</w:t>
      </w:r>
      <w:r>
        <w:t xml:space="preserve">, against 45 in condition B. The</w:t>
      </w:r>
      <w:r>
        <w:t xml:space="preserve"> </w:t>
      </w:r>
      <w:r>
        <w:t xml:space="preserve">quantile bin edges come out at −0.25, −0.20, −0.15 and −0.10 — successive lattice points.</w:t>
      </w:r>
      <w:r>
        <w:t xml:space="preserve"> </w:t>
      </w:r>
      <w:r>
        <w:t xml:space="preserve">Bins cannot be equalized on a lattice, and indeed the reference shares are 0.184, 0.209,</w:t>
      </w:r>
      <w:r>
        <w:t xml:space="preserve"> </w:t>
      </w:r>
      <w:r>
        <w:t xml:space="preserve">0.140, 0.230, 0.236 rather than five 0.20s. What θ = 0.419 then measures is whether the</w:t>
      </w:r>
      <w:r>
        <w:t xml:space="preserve"> </w:t>
      </w:r>
      <w:r>
        <w:t xml:space="preserve">model lands on the same 0.05 s grid points in the same proportions, which is a far finer</w:t>
      </w:r>
      <w:r>
        <w:t xml:space="preserve"> </w:t>
      </w:r>
      <w:r>
        <w:t xml:space="preserve">question than any behavioral claim we would want to make. Looking at the middle panel of</w:t>
      </w:r>
      <w:r>
        <w:t xml:space="preserve"> </w:t>
      </w:r>
      <w:r>
        <w:t xml:space="preserve">the figure, the reference and condition B track each other closely in shape; the</w:t>
      </w:r>
      <w:r>
        <w:t xml:space="preserve"> </w:t>
      </w:r>
      <w:r>
        <w:t xml:space="preserve">disagreement θ reports is mostly quantization.</w:t>
      </w:r>
    </w:p>
    <w:p>
      <w:pPr>
        <w:pStyle w:val="BodyText"/>
      </w:pPr>
      <w:r>
        <w:rPr>
          <w:b/>
          <w:bCs/>
        </w:rPr>
        <w:t xml:space="preserve">a_f,min is dominated by an atom at zero.</w:t>
      </w:r>
      <w:r>
        <w:t xml:space="preserve"> </w:t>
      </w:r>
      <w:r>
        <w:t xml:space="preserve">This is the extreme case. In the reference,</w:t>
      </w:r>
      <w:r>
        <w:t xml:space="preserve"> </w:t>
      </w:r>
      <w:r>
        <w:rPr>
          <w:b/>
          <w:bCs/>
        </w:rPr>
        <w:t xml:space="preserve">48.0% of the weighted crash mass has a_f,min &gt; −0.5 m/s²</w:t>
      </w:r>
      <w:r>
        <w:t xml:space="preserve"> </w:t>
      </w:r>
      <w:r>
        <w:t xml:space="preserve">— crashes in which the</w:t>
      </w:r>
      <w:r>
        <w:t xml:space="preserve"> </w:t>
      </w:r>
      <w:r>
        <w:t xml:space="preserve">follower essentially never braked, because a glance or the no-response class covered the</w:t>
      </w:r>
      <w:r>
        <w:t xml:space="preserve"> </w:t>
      </w:r>
      <w:r>
        <w:t xml:space="preserve">conflict. A quantile cut cannot split an atom that large. The five bin edges come out as</w:t>
      </w:r>
    </w:p>
    <w:p>
      <w:pPr>
        <w:pStyle w:val="SourceCode"/>
      </w:pPr>
      <w:r>
        <w:rPr>
          <w:rStyle w:val="VerbatimChar"/>
        </w:rPr>
        <w:t xml:space="preserve">-inf,  -5.4,  -2.8,  -2.84e-14,  -3.55e-15,  +inf</w:t>
      </w:r>
    </w:p>
    <w:p>
      <w:pPr>
        <w:pStyle w:val="FirstParagraph"/>
      </w:pPr>
      <w:r>
        <w:t xml:space="preserve">The last two inner edges have collapsed onto zero. Bin 4 spans the interval</w:t>
      </w:r>
      <w:r>
        <w:t xml:space="preserve"> </w:t>
      </w:r>
      <w:r>
        <w:t xml:space="preserve">[−2.84e-14, −3.55e-15] — numerically empty, yet holding 19.6% of the reference weight</w:t>
      </w:r>
      <w:r>
        <w:t xml:space="preserve"> </w:t>
      </w:r>
      <w:r>
        <w:t xml:space="preserve">through floating-point ties — and condition B places 0.000 there, which yields θ = 1.000</w:t>
      </w:r>
      <w:r>
        <w:t xml:space="preserve"> </w:t>
      </w:r>
      <w:r>
        <w:t xml:space="preserve">for that bin mechanically. Bin 5 then gives 1.058.</w:t>
      </w:r>
      <w:r>
        <w:t xml:space="preserve"> </w:t>
      </w:r>
      <w:r>
        <w:rPr>
          <w:b/>
          <w:bCs/>
        </w:rPr>
        <w:t xml:space="preserve">Neither number is a measurement of</w:t>
      </w:r>
      <w:r>
        <w:rPr>
          <w:b/>
          <w:bCs/>
        </w:rPr>
        <w:t xml:space="preserve"> </w:t>
      </w:r>
      <w:r>
        <w:rPr>
          <w:b/>
          <w:bCs/>
        </w:rPr>
        <w:t xml:space="preserve">the model.</w:t>
      </w:r>
    </w:p>
    <w:bookmarkEnd w:id="17"/>
    <w:bookmarkStart w:id="18" w:name="what-the-braking-difference-actually-is"/>
    <w:p>
      <w:pPr>
        <w:pStyle w:val="Heading2"/>
      </w:pPr>
      <w:r>
        <w:t xml:space="preserve">3 What the braking difference actually is</w:t>
      </w:r>
    </w:p>
    <w:p>
      <w:pPr>
        <w:pStyle w:val="FirstParagraph"/>
      </w:pPr>
      <w:r>
        <w:t xml:space="preserve">Comparing the same two distributions on quantities chosen in advance rather than on</w:t>
      </w:r>
      <w:r>
        <w:t xml:space="preserve"> </w:t>
      </w:r>
      <w:r>
        <w:t xml:space="preserve">collapsed quantile bins: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 braking (a_f,min &gt; −0.5)</w:t>
            </w:r>
          </w:p>
        </w:tc>
        <w:tc>
          <w:tcPr/>
          <w:p>
            <w:pPr>
              <w:pStyle w:val="Compact"/>
            </w:pPr>
            <w:r>
              <w:t xml:space="preserve">moderate (−4, −0.5]</w:t>
            </w:r>
          </w:p>
        </w:tc>
        <w:tc>
          <w:tcPr/>
          <w:p>
            <w:pPr>
              <w:pStyle w:val="Compact"/>
            </w:pPr>
            <w:r>
              <w:t xml:space="preserve">hard (≤ −4)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QUADRIS reference</w:t>
            </w:r>
          </w:p>
        </w:tc>
        <w:tc>
          <w:tcPr/>
          <w:p>
            <w:pPr>
              <w:pStyle w:val="Compact"/>
            </w:pPr>
            <w:r>
              <w:t xml:space="preserve">0.480</w:t>
            </w:r>
          </w:p>
        </w:tc>
        <w:tc>
          <w:tcPr/>
          <w:p>
            <w:pPr>
              <w:pStyle w:val="Compact"/>
            </w:pPr>
            <w:r>
              <w:t xml:space="preserve">0.208</w:t>
            </w:r>
          </w:p>
        </w:tc>
        <w:tc>
          <w:tcPr/>
          <w:p>
            <w:pPr>
              <w:pStyle w:val="Compact"/>
            </w:pPr>
            <w:r>
              <w:t xml:space="preserve">0.312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B</w:t>
            </w:r>
          </w:p>
        </w:tc>
        <w:tc>
          <w:tcPr/>
          <w:p>
            <w:pPr>
              <w:pStyle w:val="Compact"/>
            </w:pPr>
            <w:r>
              <w:t xml:space="preserve">0.502</w:t>
            </w:r>
          </w:p>
        </w:tc>
        <w:tc>
          <w:tcPr/>
          <w:p>
            <w:pPr>
              <w:pStyle w:val="Compact"/>
            </w:pPr>
            <w:r>
              <w:t xml:space="preserve">0.259</w:t>
            </w:r>
          </w:p>
        </w:tc>
        <w:tc>
          <w:tcPr/>
          <w:p>
            <w:pPr>
              <w:pStyle w:val="Compact"/>
            </w:pPr>
            <w:r>
              <w:t xml:space="preserve">0.239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 difference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+4.6%</w:t>
            </w:r>
          </w:p>
        </w:tc>
        <w:tc>
          <w:tcPr/>
          <w:p>
            <w:pPr>
              <w:pStyle w:val="Compact"/>
            </w:pPr>
            <w:r>
              <w:t xml:space="preserve">+24%</w:t>
            </w:r>
          </w:p>
        </w:tc>
        <w:tc>
          <w:tcPr/>
          <w:p>
            <w:pPr>
              <w:pStyle w:val="Compact"/>
            </w:pPr>
            <w:r>
              <w:t xml:space="preserve">−23%</w:t>
            </w:r>
          </w:p>
        </w:tc>
      </w:tr>
    </w:tbl>
    <w:p>
      <w:pPr>
        <w:pStyle w:val="BodyText"/>
      </w:pPr>
      <w:r>
        <w:t xml:space="preserve">The headline that the results document already carries — condition B reproduces the</w:t>
      </w:r>
      <w:r>
        <w:t xml:space="preserve"> </w:t>
      </w:r>
      <w:r>
        <w:t xml:space="preserve">reference’s dominant non-braking character — is confirmed and is in fact stronger than</w:t>
      </w:r>
      <w:r>
        <w:t xml:space="preserve"> </w:t>
      </w:r>
      <w:r>
        <w:t xml:space="preserve">stated: the non-braking share agrees to within 4.6%, which would pass a ROPE of 0.10</w:t>
      </w:r>
      <w:r>
        <w:t xml:space="preserve"> </w:t>
      </w:r>
      <w:r>
        <w:t xml:space="preserve">comfortably. The real disagreement is a redistribution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the braking crashes:</w:t>
      </w:r>
      <w:r>
        <w:t xml:space="preserve"> </w:t>
      </w:r>
      <w:r>
        <w:t xml:space="preserve">condition B produces too many moderate decelerations and too few hard ones, by roughly a</w:t>
      </w:r>
      <w:r>
        <w:t xml:space="preserve"> </w:t>
      </w:r>
      <w:r>
        <w:t xml:space="preserve">quarter in each direction.</w:t>
      </w:r>
    </w:p>
    <w:p>
      <w:pPr>
        <w:pStyle w:val="BodyText"/>
      </w:pPr>
      <w:r>
        <w:t xml:space="preserve">That is a genuine and explainable model difference. The follower’s deceleration magnitude</w:t>
      </w:r>
      <w:r>
        <w:t xml:space="preserve"> </w:t>
      </w:r>
      <w:r>
        <w:t xml:space="preserve">is drawn from the digitized 45-crash maximum-deceleration histogram of Bärgman et al.</w:t>
      </w:r>
      <w:r>
        <w:t xml:space="preserve"> </w:t>
      </w:r>
      <w:r>
        <w:t xml:space="preserve">(2024), which is a coarse discrete distribution: condition B produces</w:t>
      </w:r>
      <w:r>
        <w:t xml:space="preserve"> </w:t>
      </w:r>
      <w:r>
        <w:rPr>
          <w:b/>
          <w:bCs/>
        </w:rPr>
        <w:t xml:space="preserve">375 distinct</w:t>
      </w:r>
      <w:r>
        <w:rPr>
          <w:b/>
          <w:bCs/>
        </w:rPr>
        <w:t xml:space="preserve"> </w:t>
      </w:r>
      <w:r>
        <w:rPr>
          <w:b/>
          <w:bCs/>
        </w:rPr>
        <w:t xml:space="preserve">a_f,min values against the reference’s 1 853</w:t>
      </w:r>
      <w:r>
        <w:t xml:space="preserve">, and only 275 distinct values among braking</w:t>
      </w:r>
      <w:r>
        <w:t xml:space="preserve"> </w:t>
      </w:r>
      <w:r>
        <w:t xml:space="preserve">crashes against 1 799. The reference’s follower (a modified IDM plus the Svärd et al.</w:t>
      </w:r>
      <w:r>
        <w:t xml:space="preserve"> </w:t>
      </w:r>
      <w:r>
        <w:t xml:space="preserve">brake-response model) brakes on a continuum; ours draws from about a dozen histogram bins</w:t>
      </w:r>
      <w:r>
        <w:t xml:space="preserve"> </w:t>
      </w:r>
      <w:r>
        <w:t xml:space="preserve">and then executes a shared jerk-ramp. This is the a_f,min lever that the handover already</w:t>
      </w:r>
      <w:r>
        <w:t xml:space="preserve"> </w:t>
      </w:r>
      <w:r>
        <w:t xml:space="preserve">lists as open item 4, and this analysis sharpens what it is: not a failure to reproduce</w:t>
      </w:r>
      <w:r>
        <w:t xml:space="preserve"> </w:t>
      </w:r>
      <w:r>
        <w:t xml:space="preserve">non-braking, but a failure to reproduce the</w:t>
      </w:r>
      <w:r>
        <w:t xml:space="preserve"> </w:t>
      </w:r>
      <w:r>
        <w:rPr>
          <w:i/>
          <w:iCs/>
        </w:rPr>
        <w:t xml:space="preserve">shape of the braking magnitude distribution</w:t>
      </w:r>
      <w:r>
        <w:t xml:space="preserve">,</w:t>
      </w:r>
      <w:r>
        <w:t xml:space="preserve"> </w:t>
      </w:r>
      <w:r>
        <w:t xml:space="preserve">traceable to a discrete draw and a fixed execution model.</w:t>
      </w:r>
    </w:p>
    <w:p>
      <w:pPr>
        <w:pStyle w:val="BodyText"/>
      </w:pPr>
      <w:r>
        <w:t xml:space="preserve">Re-running the same comparison on fixed physical bins (−∞, −6, −4, −2, −0.5, +∞) instead of</w:t>
      </w:r>
      <w:r>
        <w:t xml:space="preserve"> </w:t>
      </w:r>
      <w:r>
        <w:t xml:space="preserve">reference quantiles separates the two contributions: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binning</w:t>
            </w:r>
          </w:p>
        </w:tc>
        <w:tc>
          <w:tcPr/>
          <w:p>
            <w:pPr>
              <w:pStyle w:val="Compact"/>
            </w:pPr>
            <w:r>
              <w:t xml:space="preserve">θ</w:t>
            </w:r>
          </w:p>
        </w:tc>
        <w:tc>
          <w:tcPr/>
          <w:p>
            <w:pPr>
              <w:pStyle w:val="Compact"/>
            </w:pPr>
            <w:r>
              <w:t xml:space="preserve">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quantiles (as reported)</w:t>
            </w:r>
          </w:p>
        </w:tc>
        <w:tc>
          <w:tcPr/>
          <w:p>
            <w:pPr>
              <w:pStyle w:val="Compact"/>
            </w:pPr>
            <w:r>
              <w:t xml:space="preserve">1.058</w:t>
            </w:r>
          </w:p>
        </w:tc>
        <w:tc>
          <w:tcPr/>
          <w:p>
            <w:pPr>
              <w:pStyle w:val="Compact"/>
            </w:pPr>
            <w:r>
              <w:t xml:space="preserve">0.802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physical bins</w:t>
            </w:r>
          </w:p>
        </w:tc>
        <w:tc>
          <w:tcPr/>
          <w:p>
            <w:pPr>
              <w:pStyle w:val="Compact"/>
            </w:pPr>
            <w:r>
              <w:t xml:space="preserve">0.704</w:t>
            </w:r>
          </w:p>
        </w:tc>
        <w:tc>
          <w:tcPr/>
          <w:p>
            <w:pPr>
              <w:pStyle w:val="Compact"/>
            </w:pPr>
            <w:r>
              <w:t xml:space="preserve">0.241</w:t>
            </w:r>
          </w:p>
        </w:tc>
      </w:tr>
    </w:tbl>
    <w:p>
      <w:pPr>
        <w:pStyle w:val="BodyText"/>
      </w:pPr>
      <w:r>
        <w:t xml:space="preserve">So roughly a third of the reported θ, and about two thirds of the reported Θ, was binning</w:t>
      </w:r>
      <w:r>
        <w:t xml:space="preserve"> </w:t>
      </w:r>
      <w:r>
        <w:t xml:space="preserve">artifact; the remainder is the real discrete-draw difference. My reading is that a_f,min</w:t>
      </w:r>
      <w:r>
        <w:t xml:space="preserve"> </w:t>
      </w:r>
      <w:r>
        <w:t xml:space="preserve">should be reported on fixed bins with the three-way summary above, and that the quantile</w:t>
      </w:r>
      <w:r>
        <w:t xml:space="preserve"> </w:t>
      </w:r>
      <w:r>
        <w:t xml:space="preserve">construction should not be applied to it at all.</w:t>
      </w:r>
    </w:p>
    <w:bookmarkEnd w:id="18"/>
    <w:bookmarkStart w:id="19" w:name="Xeb9125d4cbb0388eb48b9493a23a1cf83e74f61"/>
    <w:p>
      <w:pPr>
        <w:pStyle w:val="Heading2"/>
      </w:pPr>
      <w:r>
        <w:t xml:space="preserve">4 What I would change in how these results are reported</w:t>
      </w:r>
    </w:p>
    <w:p>
      <w:pPr>
        <w:pStyle w:val="FirstParagraph"/>
      </w:pPr>
      <w:r>
        <w:t xml:space="preserve">These are recommendations rather than findings, and I would want your view before acting</w:t>
      </w:r>
      <w:r>
        <w:t xml:space="preserve"> </w:t>
      </w:r>
      <w:r>
        <w:t xml:space="preserve">on them: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 severity as one metric, not three.</w:t>
      </w:r>
      <w:r>
        <w:t xml:space="preserve"> </w:t>
      </w:r>
      <w:r>
        <w:t xml:space="preserve">For the reference, v_rel is defined as</w:t>
      </w:r>
      <w:r>
        <w:t xml:space="preserve"> </w:t>
      </w:r>
      <w:r>
        <w:t xml:space="preserve">2 × dv_lead under the equal-mass assumption and P_inj is a deterministic logistic</w:t>
      </w:r>
      <w:r>
        <w:t xml:space="preserve"> </w:t>
      </w:r>
      <w:r>
        <w:t xml:space="preserve">function of dv_lead (verified: maximum absolute difference 1.0e-16). The three rows are</w:t>
      </w:r>
      <w:r>
        <w:t xml:space="preserve"> </w:t>
      </w:r>
      <w:r>
        <w:t xml:space="preserve">monotone transforms of one number and therefore share every bin and every θ. Printing</w:t>
      </w:r>
      <w:r>
        <w:t xml:space="preserve"> </w:t>
      </w:r>
      <w:r>
        <w:t xml:space="preserve">them as three rows reads as three pieces of agreeing evidence when it is 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 not apply θ to a metric with an atom or a lattice.</w:t>
      </w:r>
      <w:r>
        <w:t xml:space="preserve"> </w:t>
      </w:r>
      <w:r>
        <w:t xml:space="preserve">Use pre-specified physical</w:t>
      </w:r>
      <w:r>
        <w:t xml:space="preserve"> </w:t>
      </w:r>
      <w:r>
        <w:t xml:space="preserve">bins, and state them in advance. The equivalence module could refuse quantile binning</w:t>
      </w:r>
      <w:r>
        <w:t xml:space="preserve"> </w:t>
      </w:r>
      <w:r>
        <w:t xml:space="preserve">when the reference’s largest tie exceeds 1/N of the weight, which would have caught</w:t>
      </w:r>
      <w:r>
        <w:t xml:space="preserve"> </w:t>
      </w:r>
      <w:r>
        <w:t xml:space="preserve">a_f,min automatically.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 the dissociation as a result rather than an anomaly.</w:t>
      </w:r>
      <w:r>
        <w:t xml:space="preserve"> </w:t>
      </w:r>
      <w:r>
        <w:t xml:space="preserve">That response timing</w:t>
      </w:r>
      <w:r>
        <w:t xml:space="preserve"> </w:t>
      </w:r>
      <w:r>
        <w:t xml:space="preserve">moves crash count by a factor of 4.7 while leaving severity almost unchanged is, I</w:t>
      </w:r>
      <w:r>
        <w:t xml:space="preserve"> </w:t>
      </w:r>
      <w:r>
        <w:t xml:space="preserve">think, one of the more useful things this study found. It says that a model validated</w:t>
      </w:r>
      <w:r>
        <w:t xml:space="preserve"> </w:t>
      </w:r>
      <w:r>
        <w:t xml:space="preserve">only on crash severity distributions is close to unconstrained in its response timing,</w:t>
      </w:r>
      <w:r>
        <w:t xml:space="preserve"> </w:t>
      </w:r>
      <w:r>
        <w:t xml:space="preserve">which matters for anyone using this kind of comparison to accept a driver model.</w:t>
      </w:r>
    </w:p>
    <w:bookmarkEnd w:id="19"/>
    <w:bookmarkStart w:id="20" w:name="caveats"/>
    <w:p>
      <w:pPr>
        <w:pStyle w:val="Heading2"/>
      </w:pPr>
      <w:r>
        <w:t xml:space="preserve">5 Caveats</w:t>
      </w:r>
    </w:p>
    <w:p>
      <w:pPr>
        <w:pStyle w:val="Compact"/>
        <w:numPr>
          <w:ilvl w:val="0"/>
          <w:numId w:val="1003"/>
        </w:numPr>
      </w:pPr>
      <w:r>
        <w:t xml:space="preserve">Everything above is conditioned on the QUADRIS crash-only seeds, so the independence of</w:t>
      </w:r>
      <w:r>
        <w:t xml:space="preserve"> </w:t>
      </w:r>
      <w:r>
        <w:t xml:space="preserve">severity and timing is a property of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population and may not survive on</w:t>
      </w:r>
      <w:r>
        <w:t xml:space="preserve"> </w:t>
      </w:r>
      <w:r>
        <w:t xml:space="preserve">unconditioned exposure. Section 7 of the results document bounds how far the two differ.</w:t>
      </w:r>
    </w:p>
    <w:p>
      <w:pPr>
        <w:pStyle w:val="Compact"/>
        <w:numPr>
          <w:ilvl w:val="0"/>
          <w:numId w:val="1003"/>
        </w:numPr>
      </w:pPr>
      <w:r>
        <w:t xml:space="preserve">The variance decomposition (71% between-seed) uses the Eq. 10 crash weights and treats</w:t>
      </w:r>
      <w:r>
        <w:t xml:space="preserve"> </w:t>
      </w:r>
      <w:r>
        <w:t xml:space="preserve">the Monte Carlo glance draws as within-seed variation, so it mixes response timing with</w:t>
      </w:r>
      <w:r>
        <w:t xml:space="preserve"> </w:t>
      </w:r>
      <w:r>
        <w:t xml:space="preserve">draw noise; it should be read as an upper bound on how much timing could explain.</w:t>
      </w:r>
    </w:p>
    <w:p>
      <w:pPr>
        <w:pStyle w:val="Compact"/>
        <w:numPr>
          <w:ilvl w:val="0"/>
          <w:numId w:val="1003"/>
        </w:numPr>
      </w:pPr>
      <w:r>
        <w:t xml:space="preserve">The t_nr lattice is shared, not a definitional mismatch: both sides use the same</w:t>
      </w:r>
      <w:r>
        <w:t xml:space="preserve"> </w:t>
      </w:r>
      <w:r>
        <w:rPr>
          <w:rStyle w:val="VerbatimChar"/>
        </w:rPr>
        <w:t xml:space="preserve">no_return_time</w:t>
      </w:r>
      <w:r>
        <w:t xml:space="preserve"> </w:t>
      </w:r>
      <w:r>
        <w:t xml:space="preserve">function on the QUADRIS 20 Hz trajectories, and every value on both</w:t>
      </w:r>
      <w:r>
        <w:t xml:space="preserve"> </w:t>
      </w:r>
      <w:r>
        <w:t xml:space="preserve">sides is an exact multiple of 0.05 s (verified). The quantization argument is therefore</w:t>
      </w:r>
      <w:r>
        <w:t xml:space="preserve"> </w:t>
      </w:r>
      <w:r>
        <w:t xml:space="preserve">clean, and if anything understated — the reference has only</w:t>
      </w:r>
      <w:r>
        <w:t xml:space="preserve"> </w:t>
      </w:r>
      <w:r>
        <w:rPr>
          <w:b/>
          <w:bCs/>
        </w:rPr>
        <w:t xml:space="preserve">25 distinct t_nr values in</w:t>
      </w:r>
      <w:r>
        <w:rPr>
          <w:b/>
          <w:bCs/>
        </w:rPr>
        <w:t xml:space="preserve"> </w:t>
      </w:r>
      <w:r>
        <w:rPr>
          <w:b/>
          <w:bCs/>
        </w:rPr>
        <w:t xml:space="preserve">total</w:t>
      </w:r>
      <w:r>
        <w:t xml:space="preserve">, so asking for five equally weighted quantile bins is asking for something the</w:t>
      </w:r>
      <w:r>
        <w:t xml:space="preserve"> </w:t>
      </w:r>
      <w:r>
        <w:t xml:space="preserve">metric’s resolution cannot supply.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2026-08-26T19:15:19Z</dcterms:created>
  <dcterms:modified xsi:type="dcterms:W3CDTF">2026-08-26T19:15:19Z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