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X0c60649bbad77bc2cf89756300a6f1ed98d3eeb"/>
    <w:p>
      <w:pPr>
        <w:pStyle w:val="Heading1"/>
      </w:pPr>
      <w:r>
        <w:t xml:space="preserve">Work orders: executing the CZB roadmap with a smaller model</w:t>
      </w:r>
    </w:p>
    <w:p>
      <w:pPr>
        <w:pStyle w:val="FirstParagraph"/>
      </w:pPr>
      <w:r>
        <w:rPr>
          <w:i/>
          <w:iCs/>
        </w:rPr>
        <w:t xml:space="preserve">2026-08-27. Jonas asked whether the roadmap’s execution can move to a less expensive</w:t>
      </w:r>
      <w:r>
        <w:rPr>
          <w:i/>
          <w:iCs/>
        </w:rPr>
        <w:t xml:space="preserve"> </w:t>
      </w:r>
      <w:r>
        <w:rPr>
          <w:i/>
          <w:iCs/>
        </w:rPr>
        <w:t xml:space="preserve">model, and what would facilitate that. This document is the facilitation: task cards</w:t>
      </w:r>
      <w:r>
        <w:rPr>
          <w:i/>
          <w:iCs/>
        </w:rPr>
        <w:t xml:space="preserve"> </w:t>
      </w:r>
      <w:r>
        <w:rPr>
          <w:i/>
          <w:iCs/>
        </w:rPr>
        <w:t xml:space="preserve">precise enough that a capable but cheaper session can execute them without design</w:t>
      </w:r>
      <w:r>
        <w:rPr>
          <w:i/>
          <w:iCs/>
        </w:rPr>
        <w:t xml:space="preserve"> </w:t>
      </w:r>
      <w:r>
        <w:rPr>
          <w:i/>
          <w:iCs/>
        </w:rPr>
        <w:t xml:space="preserve">judgment, with acceptance criteria that make success checkable and stop conditions</w:t>
      </w:r>
      <w:r>
        <w:rPr>
          <w:i/>
          <w:iCs/>
        </w:rPr>
        <w:t xml:space="preserve"> </w:t>
      </w:r>
      <w:r>
        <w:rPr>
          <w:i/>
          <w:iCs/>
        </w:rPr>
        <w:t xml:space="preserve">that route genuine judgment calls back to Jonas or a stronger review session. The</w:t>
      </w:r>
      <w:r>
        <w:rPr>
          <w:i/>
          <w:iCs/>
        </w:rPr>
        <w:t xml:space="preserve"> </w:t>
      </w:r>
      <w:r>
        <w:rPr>
          <w:i/>
          <w:iCs/>
        </w:rPr>
        <w:t xml:space="preserve">recommendation on when to use which model is in section 1; the cards follow.</w:t>
      </w:r>
    </w:p>
    <w:bookmarkStart w:id="9" w:name="recommendation-on-the-model-split"/>
    <w:p>
      <w:pPr>
        <w:pStyle w:val="Heading2"/>
      </w:pPr>
      <w:r>
        <w:t xml:space="preserve">1 Recommendation on the model split</w:t>
      </w:r>
    </w:p>
    <w:p>
      <w:pPr>
        <w:pStyle w:val="FirstParagraph"/>
      </w:pPr>
      <w:r>
        <w:t xml:space="preserve">My honest view: most of the remaining work is well-specified implementation against</w:t>
      </w:r>
      <w:r>
        <w:t xml:space="preserve"> </w:t>
      </w:r>
      <w:r>
        <w:t xml:space="preserve">existing patterns, and a cheaper model executes that reliably</w:t>
      </w:r>
      <w:r>
        <w:t xml:space="preserve"> </w:t>
      </w:r>
      <w:r>
        <w:rPr>
          <w:i/>
          <w:iCs/>
        </w:rPr>
        <w:t xml:space="preserve">if</w:t>
      </w:r>
      <w:r>
        <w:t xml:space="preserve"> </w:t>
      </w:r>
      <w:r>
        <w:t xml:space="preserve">the specification</w:t>
      </w:r>
      <w:r>
        <w:t xml:space="preserve"> </w:t>
      </w:r>
      <w:r>
        <w:t xml:space="preserve">carries the judgment. The split I would use: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Cheaper model, per these cards</w:t>
      </w:r>
      <w:r>
        <w:t xml:space="preserve">: A.1, A.2, A.4, B.1–B.3 constructions, C, E.1,</w:t>
      </w:r>
      <w:r>
        <w:t xml:space="preserve"> </w:t>
      </w:r>
      <w:r>
        <w:t xml:space="preserve">document rebuilds, and all reruns.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Stronger model (or Jonas)</w:t>
      </w:r>
      <w:r>
        <w:t xml:space="preserve">: interpreting A.2’s bias-model comparison, A.3’s</w:t>
      </w:r>
      <w:r>
        <w:t xml:space="preserve"> </w:t>
      </w:r>
      <w:r>
        <w:t xml:space="preserve">pass/fail verdict, B.4’s transfer readout, anything where a card’s stop condition</w:t>
      </w:r>
      <w:r>
        <w:t xml:space="preserve"> </w:t>
      </w:r>
      <w:r>
        <w:t xml:space="preserve">fires, and a periodic review pass over completed cards (the pattern that caught the</w:t>
      </w:r>
      <w:r>
        <w:t xml:space="preserve"> </w:t>
      </w:r>
      <w:r>
        <w:t xml:space="preserve">paired-difference overstatement is worth keeping: execute cheap, review strong).</w:t>
      </w:r>
    </w:p>
    <w:p>
      <w:pPr>
        <w:pStyle w:val="Compact"/>
        <w:numPr>
          <w:ilvl w:val="0"/>
          <w:numId w:val="1001"/>
        </w:numPr>
      </w:pPr>
      <w:r>
        <w:t xml:space="preserve">Do not hand a cheaper session an open question (</w:t>
      </w:r>
      <w:r>
        <w:t xml:space="preserve">“does this look right?”</w:t>
      </w:r>
      <w:r>
        <w:t xml:space="preserve">) — hand it</w:t>
      </w:r>
      <w:r>
        <w:t xml:space="preserve"> </w:t>
      </w:r>
      <w:r>
        <w:t xml:space="preserve">a card. When a card’s acceptance criterion cannot be met, the correct output is a</w:t>
      </w:r>
      <w:r>
        <w:t xml:space="preserve"> </w:t>
      </w:r>
      <w:r>
        <w:t xml:space="preserve">short failure report, not an improvisation.</w:t>
      </w:r>
    </w:p>
    <w:bookmarkEnd w:id="9"/>
    <w:bookmarkStart w:id="10" w:name="X21541577705848f99853e8a53789336e72e8cb9"/>
    <w:p>
      <w:pPr>
        <w:pStyle w:val="Heading2"/>
      </w:pPr>
      <w:r>
        <w:t xml:space="preserve">2 Standing rules for every card (read first, they are load conditions)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Every number that will be quoted anywhere must come from a committed script</w:t>
      </w:r>
      <w:r>
        <w:t xml:space="preserve"> </w:t>
      </w:r>
      <w:r>
        <w:t xml:space="preserve">with its output file tracked. No in-session-only analyses — this rule exists</w:t>
      </w:r>
      <w:r>
        <w:t xml:space="preserve"> </w:t>
      </w:r>
      <w:r>
        <w:t xml:space="preserve">because an uncommitted analysis produced an overstated headline once already</w:t>
      </w:r>
      <w:r>
        <w:t xml:space="preserve"> </w:t>
      </w:r>
      <w:r>
        <w:t xml:space="preserve">(results doc §4.3b-ii, corrected 2026-08-27).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Run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python tests/test_surprise.py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test_comfortzone.py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test_causation.py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test_cutin.py</w:t>
      </w:r>
      <w:r>
        <w:rPr>
          <w:b/>
          <w:bCs/>
        </w:rPr>
        <w:t xml:space="preserve"> </w:t>
      </w:r>
      <w:r>
        <w:rPr>
          <w:b/>
          <w:bCs/>
        </w:rPr>
        <w:t xml:space="preserve">before and after each card</w:t>
      </w:r>
      <w:r>
        <w:t xml:space="preserve">; all must pass. New behavior gets new</w:t>
      </w:r>
      <w:r>
        <w:t xml:space="preserve"> </w:t>
      </w:r>
      <w:r>
        <w:t xml:space="preserve">property tests in the same check() style.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Never modify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src/aidriver/preferences.py</w:t>
      </w:r>
      <w:r>
        <w:rPr>
          <w:b/>
          <w:bCs/>
        </w:rPr>
        <w:t xml:space="preserve"> </w:t>
      </w:r>
      <w:r>
        <w:rPr>
          <w:b/>
          <w:bCs/>
        </w:rPr>
        <w:t xml:space="preserve">defaults</w:t>
      </w:r>
      <w:r>
        <w:t xml:space="preserve"> </w:t>
      </w:r>
      <w:r>
        <w:t xml:space="preserve">— released behavior is</w:t>
      </w:r>
      <w:r>
        <w:t xml:space="preserve"> </w:t>
      </w:r>
      <w:r>
        <w:t xml:space="preserve">frozen; new behavior goes behind flags defaulting off.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House style</w:t>
      </w:r>
      <w:r>
        <w:t xml:space="preserve"> </w:t>
      </w:r>
      <w:r>
        <w:t xml:space="preserve">for anything written for Jonas: US English, markdown as source,</w:t>
      </w:r>
      <w:r>
        <w:t xml:space="preserve"> </w:t>
      </w:r>
      <w:r>
        <w:t xml:space="preserve">Word + PDF generated (</w:t>
      </w:r>
      <w:r>
        <w:rPr>
          <w:rStyle w:val="VerbatimChar"/>
        </w:rPr>
        <w:t xml:space="preserve">pandoc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docs/build_pdf.py</w:t>
      </w:r>
      <w:r>
        <w:t xml:space="preserve">), no period ending a heading,</w:t>
      </w:r>
      <w:r>
        <w:t xml:space="preserve"> </w:t>
      </w:r>
      <w:r>
        <w:t xml:space="preserve">opinions hedged as opinions. OneDrive locks: if a build fails with PermissionError,</w:t>
      </w:r>
      <w:r>
        <w:t xml:space="preserve"> </w:t>
      </w:r>
      <w:r>
        <w:t xml:space="preserve">write a</w:t>
      </w:r>
      <w:r>
        <w:t xml:space="preserve"> </w:t>
      </w:r>
      <w:r>
        <w:rPr>
          <w:rStyle w:val="VerbatimChar"/>
        </w:rPr>
        <w:t xml:space="preserve">-vN</w:t>
      </w:r>
      <w:r>
        <w:t xml:space="preserve"> </w:t>
      </w:r>
      <w:r>
        <w:t xml:space="preserve">name and say so.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Environment</w:t>
      </w:r>
      <w:r>
        <w:t xml:space="preserve">: Python 3.14, torch CPU-only, no LaTeX/GPU/gh. Long jobs</w:t>
      </w:r>
      <w:r>
        <w:t xml:space="preserve"> </w:t>
      </w:r>
      <w:r>
        <w:t xml:space="preserve">checkpointed and restartable; background runners never piped through</w:t>
      </w:r>
      <w:r>
        <w:t xml:space="preserve"> </w:t>
      </w:r>
      <w:r>
        <w:rPr>
          <w:rStyle w:val="VerbatimChar"/>
        </w:rPr>
        <w:t xml:space="preserve">tail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Provenance discipline</w:t>
      </w:r>
      <w:r>
        <w:t xml:space="preserve">: cite only verified references; mark anything unverified.</w:t>
      </w:r>
    </w:p>
    <w:bookmarkEnd w:id="10"/>
    <w:bookmarkStart w:id="21" w:name="task-cards"/>
    <w:p>
      <w:pPr>
        <w:pStyle w:val="Heading2"/>
      </w:pPr>
      <w:r>
        <w:t xml:space="preserve">3 Task cards</w:t>
      </w:r>
    </w:p>
    <w:bookmarkStart w:id="11" w:name="X5ce378f8024ce716a4e4df2bf955308520b097b"/>
    <w:p>
      <w:pPr>
        <w:pStyle w:val="Heading3"/>
      </w:pPr>
      <w:r>
        <w:t xml:space="preserve">Card S.1 — draft the</w:t>
      </w:r>
      <w:r>
        <w:t xml:space="preserve"> </w:t>
      </w:r>
      <w:r>
        <w:rPr>
          <w:rStyle w:val="VerbatimChar"/>
        </w:rPr>
        <w:t xml:space="preserve">perform-research</w:t>
      </w:r>
      <w:r>
        <w:t xml:space="preserve"> </w:t>
      </w:r>
      <w:r>
        <w:t xml:space="preserve">skill (first task for the next session)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Goal</w:t>
      </w:r>
      <w:r>
        <w:t xml:space="preserve">: a reusable, iteratively updatable skill that captures how research is</w:t>
      </w:r>
      <w:r>
        <w:t xml:space="preserve"> </w:t>
      </w:r>
      <w:r>
        <w:t xml:space="preserve">performed in this collaboration — so the working discipline survives model changes,</w:t>
      </w:r>
      <w:r>
        <w:t xml:space="preserve"> </w:t>
      </w:r>
      <w:r>
        <w:t xml:space="preserve">session changes, and time. Jonas asked for it explicitly, drafting delegated to the</w:t>
      </w:r>
      <w:r>
        <w:t xml:space="preserve"> </w:t>
      </w:r>
      <w:r>
        <w:t xml:space="preserve">next (cheaper) session, with the instruction to also look at what exists elsewhere</w:t>
      </w:r>
      <w:r>
        <w:t xml:space="preserve"> </w:t>
      </w:r>
      <w:r>
        <w:t xml:space="preserve">online and borrow with attribution.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Build</w:t>
      </w:r>
      <w:r>
        <w:t xml:space="preserve">: draft</w:t>
      </w:r>
      <w:r>
        <w:t xml:space="preserve"> </w:t>
      </w:r>
      <w:r>
        <w:rPr>
          <w:rStyle w:val="VerbatimChar"/>
        </w:rPr>
        <w:t xml:space="preserve">C:\Users\bargman\.claude\skills\perform-research\SKILL.md</w:t>
      </w:r>
      <w:r>
        <w:t xml:space="preserve"> </w:t>
      </w:r>
      <w:r>
        <w:t xml:space="preserve">with</w:t>
      </w:r>
      <w:r>
        <w:t xml:space="preserve"> </w:t>
      </w:r>
      <w:r>
        <w:t xml:space="preserve">frontmatter (name, description triggering on research execution, analysis tasks,</w:t>
      </w:r>
      <w:r>
        <w:t xml:space="preserve"> </w:t>
      </w:r>
      <w:r>
        <w:t xml:space="preserve">fitting runs, and model handovers in this project family). Required contents, from</w:t>
      </w:r>
      <w:r>
        <w:t xml:space="preserve"> </w:t>
      </w:r>
      <w:r>
        <w:t xml:space="preserve">this project’s accumulated practice:</w:t>
      </w: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Reproducibility discipline</w:t>
      </w:r>
      <w:r>
        <w:t xml:space="preserve">: every quoted number from a committed script with</w:t>
      </w:r>
      <w:r>
        <w:t xml:space="preserve"> </w:t>
      </w:r>
      <w:r>
        <w:t xml:space="preserve">tracked output; regeneration commands logged; generated artifacts never</w:t>
      </w:r>
      <w:r>
        <w:t xml:space="preserve"> </w:t>
      </w:r>
      <w:r>
        <w:t xml:space="preserve">hand-edited; the 2026-08-27 paired-difference correction as the cautionary tale.</w:t>
      </w: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Verification discipline</w:t>
      </w:r>
      <w:r>
        <w:t xml:space="preserve">: property tests before and after every task; verify</w:t>
      </w:r>
      <w:r>
        <w:t xml:space="preserve"> </w:t>
      </w:r>
      <w:r>
        <w:t xml:space="preserve">by two independent routes where feasible; results that contradict documented</w:t>
      </w:r>
      <w:r>
        <w:t xml:space="preserve"> </w:t>
      </w:r>
      <w:r>
        <w:t xml:space="preserve">findings get surfaced, never silently reconciled.</w:t>
      </w: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Documentation discipline</w:t>
      </w:r>
      <w:r>
        <w:t xml:space="preserve">: markdown as source of truth, Word/PDF generated;</w:t>
      </w:r>
      <w:r>
        <w:t xml:space="preserve"> </w:t>
      </w:r>
      <w:r>
        <w:t xml:space="preserve">dated handover files per arc plus a standing</w:t>
      </w:r>
      <w:r>
        <w:t xml:space="preserve"> </w:t>
      </w:r>
      <w:r>
        <w:rPr>
          <w:rStyle w:val="VerbatimChar"/>
        </w:rPr>
        <w:t xml:space="preserve">handover.md</w:t>
      </w:r>
      <w:r>
        <w:t xml:space="preserve"> </w:t>
      </w:r>
      <w:r>
        <w:t xml:space="preserve">entry point; decisions</w:t>
      </w:r>
      <w:r>
        <w:t xml:space="preserve"> </w:t>
      </w:r>
      <w:r>
        <w:t xml:space="preserve">recorded with their reasoning and their location; the</w:t>
      </w:r>
      <w:r>
        <w:t xml:space="preserve"> </w:t>
      </w:r>
      <w:r>
        <w:rPr>
          <w:rStyle w:val="VerbatimChar"/>
        </w:rPr>
        <w:t xml:space="preserve">jonas-academic-writing</w:t>
      </w:r>
      <w:r>
        <w:t xml:space="preserve"> </w:t>
      </w:r>
      <w:r>
        <w:t xml:space="preserve">conventions for anything addressed to Jonas.</w:t>
      </w: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Between-model handover protocol</w:t>
      </w:r>
      <w:r>
        <w:t xml:space="preserve">: the entry sequence (handover chain →</w:t>
      </w:r>
      <w:r>
        <w:t xml:space="preserve"> </w:t>
      </w:r>
      <w:r>
        <w:t xml:space="preserve">roadmap → work orders), one card per session, the escalation triggers and review</w:t>
      </w:r>
      <w:r>
        <w:t xml:space="preserve"> </w:t>
      </w:r>
      <w:r>
        <w:t xml:space="preserve">gates (copy from</w:t>
      </w:r>
      <w:r>
        <w:t xml:space="preserve"> </w:t>
      </w:r>
      <w:r>
        <w:rPr>
          <w:rStyle w:val="VerbatimChar"/>
        </w:rPr>
        <w:t xml:space="preserve">handover_2026-08-27.md</w:t>
      </w:r>
      <w:r>
        <w:t xml:space="preserve"> </w:t>
      </w:r>
      <w:r>
        <w:t xml:space="preserve">§8 — that list is the current</w:t>
      </w:r>
      <w:r>
        <w:t xml:space="preserve"> </w:t>
      </w:r>
      <w:r>
        <w:t xml:space="preserve">authority), worklog appends, and the rule that a cheaper session executes cards</w:t>
      </w:r>
      <w:r>
        <w:t xml:space="preserve"> </w:t>
      </w:r>
      <w:r>
        <w:t xml:space="preserve">and never improvises around a failed acceptance criterion.</w:t>
      </w: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Statistical practice</w:t>
      </w:r>
      <w:r>
        <w:t xml:space="preserve">: uncertainty conventions stated and resampled</w:t>
      </w:r>
      <w:r>
        <w:t xml:space="preserve"> </w:t>
      </w:r>
      <w:r>
        <w:t xml:space="preserve">completely (all variance sources); comparisons as differences; held-out</w:t>
      </w:r>
      <w:r>
        <w:t xml:space="preserve"> </w:t>
      </w:r>
      <w:r>
        <w:t xml:space="preserve">validation for any model comparison; pre-stated decision rules for verdict</w:t>
      </w:r>
      <w:r>
        <w:t xml:space="preserve"> </w:t>
      </w:r>
      <w:r>
        <w:t xml:space="preserve">experiments.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Research step</w:t>
      </w:r>
      <w:r>
        <w:t xml:space="preserve">: search online for existing practice worth borrowing — multi-</w:t>
      </w:r>
      <w:r>
        <w:t xml:space="preserve"> </w:t>
      </w:r>
      <w:r>
        <w:t xml:space="preserve">agent / multi-model handoff patterns, LLM-assisted research workflow guides,</w:t>
      </w:r>
      <w:r>
        <w:t xml:space="preserve"> </w:t>
      </w:r>
      <w:r>
        <w:t xml:space="preserve">lab-notebook and reproducibility standards (e.g. from open-science communities),</w:t>
      </w:r>
      <w:r>
        <w:t xml:space="preserve"> </w:t>
      </w:r>
      <w:r>
        <w:t xml:space="preserve">and any published skill/prompt libraries for research execution. Cite what is</w:t>
      </w:r>
      <w:r>
        <w:t xml:space="preserve"> </w:t>
      </w:r>
      <w:r>
        <w:t xml:space="preserve">borrowed; mark unverified claims per house rules.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Accept</w:t>
      </w:r>
      <w:r>
        <w:t xml:space="preserve">: the draft SKILL.md exists, is under ~300 lines, cites its sources, and</w:t>
      </w:r>
      <w:r>
        <w:t xml:space="preserve"> </w:t>
      </w:r>
      <w:r>
        <w:t xml:space="preserve">ends with an explicit</w:t>
      </w:r>
      <w:r>
        <w:t xml:space="preserve"> </w:t>
      </w:r>
      <w:r>
        <w:t xml:space="preserve">“for Jonas’s review”</w:t>
      </w:r>
      <w:r>
        <w:t xml:space="preserve"> </w:t>
      </w:r>
      <w:r>
        <w:t xml:space="preserve">note.</w:t>
      </w:r>
      <w:r>
        <w:t xml:space="preserve"> </w:t>
      </w:r>
      <w:r>
        <w:rPr>
          <w:b/>
          <w:bCs/>
        </w:rPr>
        <w:t xml:space="preserve">Do not treat the skill as active</w:t>
      </w:r>
      <w:r>
        <w:rPr>
          <w:b/>
          <w:bCs/>
        </w:rPr>
        <w:t xml:space="preserve"> </w:t>
      </w:r>
      <w:r>
        <w:rPr>
          <w:b/>
          <w:bCs/>
        </w:rPr>
        <w:t xml:space="preserve">until Jonas approves it</w:t>
      </w:r>
      <w:r>
        <w:t xml:space="preserve">; iterate on his comments in later sessions.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Stop if</w:t>
      </w:r>
      <w:r>
        <w:t xml:space="preserve">: unsure whether some practice is project law or one session’s habit —</w:t>
      </w:r>
      <w:r>
        <w:t xml:space="preserve"> </w:t>
      </w:r>
      <w:r>
        <w:t xml:space="preserve">list the uncertain items in the draft for Jonas to rule on rather than guessing.</w:t>
      </w:r>
    </w:p>
    <w:bookmarkEnd w:id="11"/>
    <w:bookmarkStart w:id="12" w:name="card-a.1-synthetic-recovery-harness"/>
    <w:p>
      <w:pPr>
        <w:pStyle w:val="Heading3"/>
      </w:pPr>
      <w:r>
        <w:t xml:space="preserve">Card A.1 — synthetic-recovery harness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Goal</w:t>
      </w:r>
      <w:r>
        <w:t xml:space="preserve">: prove the stage-1 estimator recovers known parameters before touching</w:t>
      </w:r>
      <w:r>
        <w:t xml:space="preserve"> </w:t>
      </w:r>
      <w:r>
        <w:t xml:space="preserve">real data.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Build</w:t>
      </w:r>
      <w:r>
        <w:t xml:space="preserve">:</w:t>
      </w:r>
      <w:r>
        <w:t xml:space="preserve"> </w:t>
      </w:r>
      <w:r>
        <w:rPr>
          <w:rStyle w:val="VerbatimChar"/>
        </w:rPr>
        <w:t xml:space="preserve">replication/czb/fit_recovery.py</w:t>
      </w:r>
      <w:r>
        <w:t xml:space="preserve">. Simulate the Random cut-in design</w:t>
      </w:r>
      <w:r>
        <w:t xml:space="preserve"> </w:t>
      </w:r>
      <w:r>
        <w:t xml:space="preserve">(43 participants × 18 cells × 4 repetitions) from the generative model in</w:t>
      </w:r>
      <w:r>
        <w:t xml:space="preserve"> </w:t>
      </w:r>
      <w:r>
        <w:rPr>
          <w:rStyle w:val="VerbatimChar"/>
        </w:rPr>
        <w:t xml:space="preserve">docs/czb_fitting_plan.md</w:t>
      </w:r>
      <w:r>
        <w:t xml:space="preserve"> </w:t>
      </w:r>
      <w:r>
        <w:t xml:space="preserve">§2 stage 1: c_i ~ LogNormal(μ, σ), lapse floor b</w:t>
      </w:r>
      <w:r>
        <w:t xml:space="preserve"> </w:t>
      </w:r>
      <w:r>
        <w:t xml:space="preserve">(both variants), P = b + (1−b)·Φ((x − c_i)/σ_resp) with x = the cell’s</w:t>
      </w:r>
      <w:r>
        <w:t xml:space="preserve"> </w:t>
      </w:r>
      <w:r>
        <w:rPr>
          <w:rStyle w:val="VerbatimChar"/>
        </w:rPr>
        <w:t xml:space="preserve">deficit_max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comfortzone.czb_data.random_cutin_trials()</w:t>
      </w:r>
      <w:r>
        <w:t xml:space="preserve">. Fit by MAP in</w:t>
      </w:r>
      <w:r>
        <w:t xml:space="preserve"> </w:t>
      </w:r>
      <w:r>
        <w:t xml:space="preserve">torch (L-BFGS) with Laplace SEs; also fit the a_allowed parameterization (threshold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a_req_max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Accept</w:t>
      </w:r>
      <w:r>
        <w:t xml:space="preserve">: over 20 simulated datasets, population μ and σ recovered within 2</w:t>
      </w:r>
      <w:r>
        <w:t xml:space="preserve"> </w:t>
      </w:r>
      <w:r>
        <w:t xml:space="preserve">Laplace SEs in ≥ 18; per-driver c_i shrinkage visible (posterior means closer to</w:t>
      </w:r>
      <w:r>
        <w:t xml:space="preserve"> </w:t>
      </w:r>
      <w:r>
        <w:t xml:space="preserve">truth than raw per-driver MLEs in RMSE). Runtime under 10 minutes total.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Pitfalls</w:t>
      </w:r>
      <w:r>
        <w:t xml:space="preserve">: identifiability of (c, σ_resp) scale — fix σ_resp’s prior scale from</w:t>
      </w:r>
      <w:r>
        <w:t xml:space="preserve"> </w:t>
      </w:r>
      <w:r>
        <w:t xml:space="preserve">the pilot (≈ 2 200 deficit units); lapse and threshold trade off at C1 — check the</w:t>
      </w:r>
      <w:r>
        <w:t xml:space="preserve"> </w:t>
      </w:r>
      <w:r>
        <w:t xml:space="preserve">recovery specifically at b.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Stop if</w:t>
      </w:r>
      <w:r>
        <w:t xml:space="preserve">: recovery fails after two honest attempts — report the failure mode,</w:t>
      </w:r>
      <w:r>
        <w:t xml:space="preserve"> </w:t>
      </w:r>
      <w:r>
        <w:t xml:space="preserve">do not loosen the acceptance criterion.</w:t>
      </w:r>
    </w:p>
    <w:bookmarkEnd w:id="12"/>
    <w:bookmarkStart w:id="13" w:name="X7012458fadcc0d15dc90995d0510793cebc8b3f"/>
    <w:p>
      <w:pPr>
        <w:pStyle w:val="Heading3"/>
      </w:pPr>
      <w:r>
        <w:t xml:space="preserve">Card A.2 — stage-1 hierarchical fit, both bias variants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Goal</w:t>
      </w:r>
      <w:r>
        <w:t xml:space="preserve">: the population distribution of the boundary level, and the bias-model</w:t>
      </w:r>
      <w:r>
        <w:t xml:space="preserve"> </w:t>
      </w:r>
      <w:r>
        <w:t xml:space="preserve">decision.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Build</w:t>
      </w:r>
      <w:r>
        <w:t xml:space="preserve">:</w:t>
      </w:r>
      <w:r>
        <w:t xml:space="preserve"> </w:t>
      </w:r>
      <w:r>
        <w:rPr>
          <w:rStyle w:val="VerbatimChar"/>
        </w:rPr>
        <w:t xml:space="preserve">replication/czb/fit_stage1.py</w:t>
      </w:r>
      <w:r>
        <w:t xml:space="preserve">, reusing A.1’s model code on the real</w:t>
      </w:r>
      <w:r>
        <w:t xml:space="preserve"> </w:t>
      </w:r>
      <w:r>
        <w:t xml:space="preserve">trials. Fit all four combinations: {deficit axis, a_req axis} × {group-level b,</w:t>
      </w:r>
      <w:r>
        <w:t xml:space="preserve"> </w:t>
      </w:r>
      <w:r>
        <w:t xml:space="preserve">hierarchical b_i}. The ordered braking-expectation response enters as two nested</w:t>
      </w:r>
      <w:r>
        <w:t xml:space="preserve"> </w:t>
      </w:r>
      <w:r>
        <w:t xml:space="preserve">thresholds (fitting plan §2); both levels free per roadmap §0b.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Report</w:t>
      </w:r>
      <w:r>
        <w:t xml:space="preserve"> </w:t>
      </w:r>
      <w:r>
        <w:t xml:space="preserve">(</w:t>
      </w:r>
      <w:r>
        <w:rPr>
          <w:rStyle w:val="VerbatimChar"/>
        </w:rPr>
        <w:t xml:space="preserve">replication/czb/out/stage1_summary.md</w:t>
      </w:r>
      <w:r>
        <w:t xml:space="preserve">): population μ, σ with SEs;</w:t>
      </w:r>
      <w:r>
        <w:t xml:space="preserve"> </w:t>
      </w:r>
      <w:r>
        <w:t xml:space="preserve">percentile table (50–95 in steps of 5) of the population distribution with CIs;</w:t>
      </w:r>
      <w:r>
        <w:t xml:space="preserve"> </w:t>
      </w:r>
      <w:r>
        <w:t xml:space="preserve">held-out log-likelihood (leave-one-participant-out, 43 folds); posterior predictive</w:t>
      </w:r>
      <w:r>
        <w:t xml:space="preserve"> </w:t>
      </w:r>
      <w:r>
        <w:t xml:space="preserve">P(intervene) per C1 cell against observed; fitted comfort and dread levels</w:t>
      </w:r>
      <w:r>
        <w:t xml:space="preserve"> </w:t>
      </w:r>
      <w:r>
        <w:t xml:space="preserve">translated to a_allowed units and to steady-following THW at 20 m/s via</w:t>
      </w:r>
      <w:r>
        <w:t xml:space="preserve"> </w:t>
      </w:r>
      <w:r>
        <w:rPr>
          <w:rStyle w:val="VerbatimChar"/>
        </w:rPr>
        <w:t xml:space="preserve">comfortzone.field.critical_thw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Accept</w:t>
      </w:r>
      <w:r>
        <w:t xml:space="preserve">: all four fits converge; the summary table renders; LOPO likelihood</w:t>
      </w:r>
      <w:r>
        <w:t xml:space="preserve"> </w:t>
      </w:r>
      <w:r>
        <w:t xml:space="preserve">distinguishes the bias variants or states that it cannot.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Stop if</w:t>
      </w:r>
      <w:r>
        <w:t xml:space="preserve">: the C1 cells misfit under both bias variants (systematic sign pattern</w:t>
      </w:r>
      <w:r>
        <w:t xml:space="preserve"> </w:t>
      </w:r>
      <w:r>
        <w:t xml:space="preserve">across criticalities) — that is the anticipation-leak question and needs review.</w:t>
      </w:r>
    </w:p>
    <w:bookmarkEnd w:id="13"/>
    <w:bookmarkStart w:id="14" w:name="Xbeb80fc684e59d248c2830b01171a26507f84a9"/>
    <w:p>
      <w:pPr>
        <w:pStyle w:val="Heading3"/>
      </w:pPr>
      <w:r>
        <w:t xml:space="preserve">Card A.3 — the accumulator layer (review gate on its verdict)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Goal</w:t>
      </w:r>
      <w:r>
        <w:t xml:space="preserve">: the pre-registered test: does time-integration close the within-scenario</w:t>
      </w:r>
      <w:r>
        <w:t xml:space="preserve"> </w:t>
      </w:r>
      <w:r>
        <w:t xml:space="preserve">gap?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Build</w:t>
      </w:r>
      <w:r>
        <w:t xml:space="preserve">:</w:t>
      </w:r>
      <w:r>
        <w:t xml:space="preserve"> </w:t>
      </w:r>
      <w:r>
        <w:rPr>
          <w:rStyle w:val="VerbatimChar"/>
        </w:rPr>
        <w:t xml:space="preserve">replication/czb/fit_stage2.py</w:t>
      </w:r>
      <w:r>
        <w:t xml:space="preserve">. Evidence = the per-frame deficit series</w:t>
      </w:r>
      <w:r>
        <w:t xml:space="preserve"> </w:t>
      </w:r>
      <w:r>
        <w:t xml:space="preserve">(not the running max) from</w:t>
      </w:r>
      <w:r>
        <w:t xml:space="preserve"> </w:t>
      </w:r>
      <w:r>
        <w:rPr>
          <w:rStyle w:val="VerbatimChar"/>
        </w:rPr>
        <w:t xml:space="preserve">stimulus_field</w:t>
      </w:r>
      <w:r>
        <w:t xml:space="preserve">; linear accumulator with gain and</w:t>
      </w:r>
      <w:r>
        <w:t xml:space="preserve"> </w:t>
      </w:r>
      <w:r>
        <w:t xml:space="preserve">noise, threshold from A.2’s c_i; P(crossed by clip end) per trial via the</w:t>
      </w:r>
      <w:r>
        <w:t xml:space="preserve"> </w:t>
      </w:r>
      <w:r>
        <w:t xml:space="preserve">closed-form Gaussian first-passage approximation or 200-path simulation per cell</w:t>
      </w:r>
      <w:r>
        <w:t xml:space="preserve"> </w:t>
      </w:r>
      <w:r>
        <w:t xml:space="preserve">(cells share stimuli, so simulate per cell, not per trial). Motor latency fixed at</w:t>
      </w:r>
      <w:r>
        <w:t xml:space="preserve"> </w:t>
      </w:r>
      <w:r>
        <w:t xml:space="preserve">0.25 s; sensitivity refits at 0.15 and 0.35 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Accept / decision rule (pre-stated)</w:t>
      </w:r>
      <w:r>
        <w:t xml:space="preserve">: held-out (leave-one-criticality-out) RMSE</w:t>
      </w:r>
      <w:r>
        <w:t xml:space="preserve"> </w:t>
      </w:r>
      <w:r>
        <w:t xml:space="preserve">on the 18-cell surface ≤ 0.11 counts as closing the gap (the 2D state rule’s 0.120</w:t>
      </w:r>
      <w:r>
        <w:t xml:space="preserve"> </w:t>
      </w:r>
      <w:r>
        <w:t xml:space="preserve">and the design ceiling’s ~0.10 bracket the target); &gt; 0.13 counts as failure and</w:t>
      </w:r>
      <w:r>
        <w:t xml:space="preserve"> </w:t>
      </w:r>
      <w:r>
        <w:t xml:space="preserve">is reported as evidence against the framework per the assessment.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Stop if</w:t>
      </w:r>
      <w:r>
        <w:t xml:space="preserve">: the fitted gain wants to be so large the accumulator degenerates to</w:t>
      </w:r>
      <w:r>
        <w:t xml:space="preserve"> </w:t>
      </w:r>
      <w:r>
        <w:t xml:space="preserve">the static threshold — report, since that itself answers the question.</w:t>
      </w:r>
    </w:p>
    <w:bookmarkEnd w:id="14"/>
    <w:bookmarkStart w:id="15" w:name="card-a.4-button-side-validation"/>
    <w:p>
      <w:pPr>
        <w:pStyle w:val="Heading3"/>
      </w:pPr>
      <w:r>
        <w:t xml:space="preserve">Card A.4 — button-side validation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Goal</w:t>
      </w:r>
      <w:r>
        <w:t xml:space="preserve">: predict the press-time densities from the Random-fitted model with one</w:t>
      </w:r>
      <w:r>
        <w:t xml:space="preserve"> </w:t>
      </w:r>
      <w:r>
        <w:t xml:space="preserve">paradigm shift.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Build</w:t>
      </w:r>
      <w:r>
        <w:t xml:space="preserve">:</w:t>
      </w:r>
      <w:r>
        <w:t xml:space="preserve"> </w:t>
      </w:r>
      <w:r>
        <w:rPr>
          <w:rStyle w:val="VerbatimChar"/>
        </w:rPr>
        <w:t xml:space="preserve">replication/czb/validate_button.py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czb_data.button_cutin_trials()</w:t>
      </w:r>
      <w:r>
        <w:t xml:space="preserve">. Fit δ once as a threshold shift and once as a</w:t>
      </w:r>
      <w:r>
        <w:t xml:space="preserve"> </w:t>
      </w:r>
      <w:r>
        <w:t xml:space="preserve">gain shift; compare predicted vs observed press-time distributions per criticality</w:t>
      </w:r>
      <w:r>
        <w:t xml:space="preserve"> </w:t>
      </w:r>
      <w:r>
        <w:t xml:space="preserve">(QQ plots to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, one page) and report which shape fits.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Accept</w:t>
      </w:r>
      <w:r>
        <w:t xml:space="preserve">: the documented cross-paradigm excess (+0.26 at TTC6) is reproduced by</w:t>
      </w:r>
      <w:r>
        <w:t xml:space="preserve"> </w:t>
      </w:r>
      <w:r>
        <w:t xml:space="preserve">the shifted model within 0.05 at the fixed-clip checkpoints.</w:t>
      </w:r>
    </w:p>
    <w:bookmarkEnd w:id="15"/>
    <w:bookmarkStart w:id="16" w:name="Xe9b12db9ccf940c2e98352feae798e2c271a525"/>
    <w:p>
      <w:pPr>
        <w:pStyle w:val="Heading3"/>
      </w:pPr>
      <w:r>
        <w:t xml:space="preserve">Cards B.1–B.3 — transfer-scenario field constructions</w:t>
      </w:r>
    </w:p>
    <w:p>
      <w:pPr>
        <w:pStyle w:val="FirstParagraph"/>
      </w:pPr>
      <w:r>
        <w:t xml:space="preserve">Template for each: a loader in</w:t>
      </w:r>
      <w:r>
        <w:t xml:space="preserve"> </w:t>
      </w:r>
      <w:r>
        <w:rPr>
          <w:rStyle w:val="VerbatimChar"/>
        </w:rPr>
        <w:t xml:space="preserve">src/comfortzone/&lt;scenario&gt;.py</w:t>
      </w:r>
      <w:r>
        <w:t xml:space="preserve"> </w:t>
      </w:r>
      <w:r>
        <w:t xml:space="preserve">following</w:t>
      </w:r>
      <w:r>
        <w:t xml:space="preserve"> </w:t>
      </w:r>
      <w:r>
        <w:rPr>
          <w:rStyle w:val="VerbatimChar"/>
        </w:rPr>
        <w:t xml:space="preserve">cutin.py</w:t>
      </w:r>
      <w:r>
        <w:t xml:space="preserve">’s</w:t>
      </w:r>
      <w:r>
        <w:t xml:space="preserve"> </w:t>
      </w:r>
      <w:r>
        <w:t xml:space="preserve">structure (role assignment appropriate to the scenario —</w:t>
      </w:r>
      <w:r>
        <w:t xml:space="preserve"> </w:t>
      </w:r>
      <w:r>
        <w:rPr>
          <w:b/>
          <w:bCs/>
        </w:rPr>
        <w:t xml:space="preserve">by instructed vehicle, not</w:t>
      </w:r>
      <w:r>
        <w:rPr>
          <w:b/>
          <w:bCs/>
        </w:rPr>
        <w:t xml:space="preserve"> </w:t>
      </w:r>
      <w:r>
        <w:rPr>
          <w:b/>
          <w:bCs/>
        </w:rPr>
        <w:t xml:space="preserve">lateral span</w:t>
      </w:r>
      <w:r>
        <w:t xml:space="preserve">), a field check script in</w:t>
      </w:r>
      <w:r>
        <w:t xml:space="preserve"> </w:t>
      </w:r>
      <w:r>
        <w:rPr>
          <w:rStyle w:val="VerbatimChar"/>
        </w:rPr>
        <w:t xml:space="preserve">replication/czb/</w:t>
      </w:r>
      <w:r>
        <w:t xml:space="preserve"> </w:t>
      </w:r>
      <w:r>
        <w:t xml:space="preserve">producing a</w:t>
      </w:r>
      <w:r>
        <w:t xml:space="preserve"> </w:t>
      </w:r>
      <w:r>
        <w:t xml:space="preserve">per-criticality deficit figure, property tests, and the PS-versus-field correlation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ps_vs_field.py</w:t>
      </w:r>
      <w:r>
        <w:t xml:space="preserve"> </w:t>
      </w:r>
      <w:r>
        <w:t xml:space="preserve">pattern) as the acceptance readout.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B.1 cyclist overtake</w:t>
      </w:r>
      <w:r>
        <w:t xml:space="preserve"> </w:t>
      </w:r>
      <w:r>
        <w:t xml:space="preserve">(first): ego closes on a cyclist in lane; rear-end field</w:t>
      </w:r>
      <w:r>
        <w:t xml:space="preserve"> </w:t>
      </w:r>
      <w:r>
        <w:t xml:space="preserve">nearly unchanged; criticality = lateral clearance 0.5/1/1.5 m, so the lateral term</w:t>
      </w:r>
      <w:r>
        <w:t xml:space="preserve"> </w:t>
      </w:r>
      <w:r>
        <w:t xml:space="preserve">matters — use the actual clearance in</w:t>
      </w:r>
      <w:r>
        <w:t xml:space="preserve"> </w:t>
      </w:r>
      <w:r>
        <w:rPr>
          <w:rStyle w:val="VerbatimChar"/>
        </w:rPr>
        <w:t xml:space="preserve">dy</w:t>
      </w:r>
      <w:r>
        <w:t xml:space="preserve">, widths from the trace (cyclist ≈ 0.6 m).</w:t>
      </w:r>
      <w:r>
        <w:t xml:space="preserve"> </w:t>
      </w:r>
      <w:r>
        <w:t xml:space="preserve">Accept: deficit ordered by clearance at C2–C5; cell-level PS Spearman ρ reported.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B.2 truck overtake / truck lateral</w:t>
      </w:r>
      <w:r>
        <w:t xml:space="preserve">: ego passes a truck with clearance variants;</w:t>
      </w:r>
      <w:r>
        <w:t xml:space="preserve"> </w:t>
      </w:r>
      <w:r>
        <w:t xml:space="preserve">the conflict is lateral, so P_lane runs on the</w:t>
      </w:r>
      <w:r>
        <w:t xml:space="preserve"> </w:t>
      </w:r>
      <w:r>
        <w:rPr>
          <w:i/>
          <w:iCs/>
        </w:rPr>
        <w:t xml:space="preserve">lateral closing</w:t>
      </w:r>
      <w:r>
        <w:t xml:space="preserve"> </w:t>
      </w:r>
      <w:r>
        <w:t xml:space="preserve">induced by the</w:t>
      </w:r>
      <w:r>
        <w:t xml:space="preserve"> </w:t>
      </w:r>
      <w:r>
        <w:t xml:space="preserve">truck’s drift (</w:t>
      </w:r>
      <w:r>
        <w:rPr>
          <w:rStyle w:val="VerbatimChar"/>
        </w:rPr>
        <w:t xml:space="preserve">truck_lateral_movement</w:t>
      </w:r>
      <w:r>
        <w:t xml:space="preserve"> </w:t>
      </w:r>
      <w:r>
        <w:t xml:space="preserve">traces) and the clearance term carries the</w:t>
      </w:r>
      <w:r>
        <w:t xml:space="preserve"> </w:t>
      </w:r>
      <w:r>
        <w:t xml:space="preserve">statics. Accept: same criteria; also record whether the zero-deficit issue appears.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B.3 LTAP</w:t>
      </w:r>
      <w:r>
        <w:t xml:space="preserve">: crossing geometry. Build arrival-time separation at the conflict</w:t>
      </w:r>
      <w:r>
        <w:t xml:space="preserve"> </w:t>
      </w:r>
      <w:r>
        <w:t xml:space="preserve">zone (the intersection scenario’s construction): compute each vehicle’s time to the</w:t>
      </w:r>
      <w:r>
        <w:t xml:space="preserve"> </w:t>
      </w:r>
      <w:r>
        <w:t xml:space="preserve">crossing-region entry/exit from the traces, and gate the collision/safety terms by</w:t>
      </w:r>
      <w:r>
        <w:t xml:space="preserve"> </w:t>
      </w:r>
      <w:r>
        <w:t xml:space="preserve">predicted co-occupancy (the P_lane idea with lateral overlap replaced by zone</w:t>
      </w:r>
      <w:r>
        <w:t xml:space="preserve"> </w:t>
      </w:r>
      <w:r>
        <w:t xml:space="preserve">co-occupancy). This card has real design content —</w:t>
      </w:r>
      <w:r>
        <w:t xml:space="preserve"> </w:t>
      </w:r>
      <w:r>
        <w:rPr>
          <w:b/>
          <w:bCs/>
        </w:rPr>
        <w:t xml:space="preserve">write the construction note</w:t>
      </w:r>
      <w:r>
        <w:rPr>
          <w:b/>
          <w:bCs/>
        </w:rPr>
        <w:t xml:space="preserve"> </w:t>
      </w:r>
      <w:r>
        <w:rPr>
          <w:b/>
          <w:bCs/>
        </w:rPr>
        <w:t xml:space="preserve">first (1 page, the lane-entry-note pattern) and get it reviewed before coding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Stop for all three if</w:t>
      </w:r>
      <w:r>
        <w:t xml:space="preserve">: a trace family’s geometry does not fit the template</w:t>
      </w:r>
      <w:r>
        <w:t xml:space="preserve"> </w:t>
      </w:r>
      <w:r>
        <w:t xml:space="preserve">(e.g. missing vehicle, broken dimensions beyond the documented truck case).</w:t>
      </w:r>
    </w:p>
    <w:bookmarkEnd w:id="16"/>
    <w:bookmarkStart w:id="17" w:name="X2e740bdde0311d32c80d142a3abf565c10676ee"/>
    <w:p>
      <w:pPr>
        <w:pStyle w:val="Heading3"/>
      </w:pPr>
      <w:r>
        <w:t xml:space="preserve">Card B.4 — the transfer test (review gate; do not run before A.3 and B.1–B.3)</w:t>
      </w:r>
    </w:p>
    <w:p>
      <w:pPr>
        <w:pStyle w:val="Compact"/>
        <w:numPr>
          <w:ilvl w:val="0"/>
          <w:numId w:val="1010"/>
        </w:numPr>
      </w:pPr>
      <w:r>
        <w:t xml:space="preserve">Fit on cut-in only (A.2/A.3 configuration frozen); predict each transfer scenario’s</w:t>
      </w:r>
      <w:r>
        <w:t xml:space="preserve"> </w:t>
      </w:r>
      <w:r>
        <w:t xml:space="preserve">response surface with no refit. Primary: no per-scenario shift. Secondary: one</w:t>
      </w:r>
      <w:r>
        <w:t xml:space="preserve"> </w:t>
      </w:r>
      <w:r>
        <w:t xml:space="preserve">instruction shift per scenario. Comparators on identical folds: per-scenario 2D</w:t>
      </w:r>
      <w:r>
        <w:t xml:space="preserve"> </w:t>
      </w:r>
      <w:r>
        <w:t xml:space="preserve">state rules (1/TTC-analogue + the scenario’s own second observable), and — once</w:t>
      </w:r>
      <w:r>
        <w:t xml:space="preserve"> </w:t>
      </w:r>
      <w:r>
        <w:t xml:space="preserve">specified with Jonas — the elliptical joint on the same observables.</w:t>
      </w:r>
    </w:p>
    <w:p>
      <w:pPr>
        <w:pStyle w:val="Compact"/>
        <w:numPr>
          <w:ilvl w:val="0"/>
          <w:numId w:val="1010"/>
        </w:numPr>
      </w:pPr>
      <w:r>
        <w:t xml:space="preserve">Output: one table, per scenario × model: held-out corr and RMSE against (a) chance</w:t>
      </w:r>
      <w:r>
        <w:t xml:space="preserve"> </w:t>
      </w:r>
      <w:r>
        <w:t xml:space="preserve">and (b) the per-scenario-refit ceiling. No verdict prose from the executing</w:t>
      </w:r>
      <w:r>
        <w:t xml:space="preserve"> </w:t>
      </w:r>
      <w:r>
        <w:t xml:space="preserve">session; the verdict is a review task.</w:t>
      </w:r>
    </w:p>
    <w:bookmarkEnd w:id="17"/>
    <w:bookmarkStart w:id="18" w:name="card-c-percentile-sensitivity"/>
    <w:p>
      <w:pPr>
        <w:pStyle w:val="Heading3"/>
      </w:pPr>
      <w:r>
        <w:t xml:space="preserve">Card C — percentile sensitivity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replication/czb/percentile_sensitivity.py</w:t>
      </w:r>
      <w:r>
        <w:t xml:space="preserve"> </w:t>
      </w:r>
      <w:r>
        <w:t xml:space="preserve">from A.2’s population distribution:</w:t>
      </w:r>
      <w:r>
        <w:t xml:space="preserve"> </w:t>
      </w:r>
      <w:r>
        <w:t xml:space="preserve">implied trigger onset per stimulus for percentiles 50–95 (step 5) × a_allowed on</w:t>
      </w:r>
      <w:r>
        <w:t xml:space="preserve"> </w:t>
      </w:r>
      <w:r>
        <w:t xml:space="preserve">the fitted comfort–dread range; report d(onset)/d(5 percentile points) in seconds</w:t>
      </w:r>
      <w:r>
        <w:t xml:space="preserve"> </w:t>
      </w:r>
      <w:r>
        <w:t xml:space="preserve">against the percentile’s own CI width. One figure, one table.</w:t>
      </w:r>
    </w:p>
    <w:bookmarkEnd w:id="18"/>
    <w:bookmarkStart w:id="19" w:name="Xab5693df3d10b816b24afc842194bc9dbb4fe22"/>
    <w:p>
      <w:pPr>
        <w:pStyle w:val="Heading3"/>
      </w:pPr>
      <w:r>
        <w:t xml:space="preserve">Card E.1 — closed-form versus sampled lane-entry expectation</w:t>
      </w:r>
    </w:p>
    <w:p>
      <w:pPr>
        <w:pStyle w:val="Compact"/>
        <w:numPr>
          <w:ilvl w:val="0"/>
          <w:numId w:val="1012"/>
        </w:numPr>
      </w:pPr>
      <w:r>
        <w:t xml:space="preserve">Monte Carlo the released binary gates under steering noise (heading random walk,</w:t>
      </w:r>
      <w:r>
        <w:t xml:space="preserve"> </w:t>
      </w:r>
      <w:r>
        <w:t xml:space="preserve">σ_ω =</w:t>
      </w:r>
      <w:r>
        <w:t xml:space="preserve"> </w:t>
      </w:r>
      <w:r>
        <w:rPr>
          <w:rStyle w:val="VerbatimChar"/>
        </w:rPr>
        <w:t xml:space="preserve">CUTIN_W_SD_MODEL</w:t>
      </w:r>
      <w:r>
        <w:t xml:space="preserve">, the model’s own dt) along the 12 cut-in clips; compare</w:t>
      </w:r>
      <w:r>
        <w:t xml:space="preserve"> </w:t>
      </w:r>
      <w:r>
        <w:t xml:space="preserve">the sampled conflict-probability with</w:t>
      </w:r>
      <w:r>
        <w:t xml:space="preserve"> </w:t>
      </w:r>
      <w:r>
        <w:rPr>
          <w:rStyle w:val="VerbatimChar"/>
        </w:rPr>
        <w:t xml:space="preserve">lane_entry_weight</w:t>
      </w:r>
      <w:r>
        <w:t xml:space="preserve">. Accept: max absolute</w:t>
      </w:r>
      <w:r>
        <w:t xml:space="preserve"> </w:t>
      </w:r>
      <w:r>
        <w:t xml:space="preserve">difference reported per clip; agreement within ~0.15 through the response window</w:t>
      </w:r>
      <w:r>
        <w:t xml:space="preserve"> </w:t>
      </w:r>
      <w:r>
        <w:t xml:space="preserve">validates the closed form, larger structured disagreement goes to review.</w:t>
      </w:r>
    </w:p>
    <w:bookmarkEnd w:id="19"/>
    <w:bookmarkStart w:id="20" w:name="cards-e.2-e.3-and-d"/>
    <w:p>
      <w:pPr>
        <w:pStyle w:val="Heading3"/>
      </w:pPr>
      <w:r>
        <w:t xml:space="preserve">Cards E.2, E.3 and D</w:t>
      </w:r>
    </w:p>
    <w:p>
      <w:pPr>
        <w:pStyle w:val="FirstParagraph"/>
      </w:pPr>
      <w:r>
        <w:t xml:space="preserve">Deliberately not carded for cheap execution: E.2 (uncertainty term) and E.3</w:t>
      </w:r>
      <w:r>
        <w:t xml:space="preserve"> </w:t>
      </w:r>
      <w:r>
        <w:t xml:space="preserve">(policy-set field) involve model design, and D (safety audit) touches the causation</w:t>
      </w:r>
      <w:r>
        <w:t xml:space="preserve"> </w:t>
      </w:r>
      <w:r>
        <w:t xml:space="preserve">runner’s intervention injection. These get cards after their design notes exist.</w:t>
      </w:r>
    </w:p>
    <w:bookmarkEnd w:id="20"/>
    <w:bookmarkEnd w:id="21"/>
    <w:bookmarkStart w:id="22" w:name="suggested-session-pattern"/>
    <w:p>
      <w:pPr>
        <w:pStyle w:val="Heading2"/>
      </w:pPr>
      <w:r>
        <w:t xml:space="preserve">4 Suggested session pattern</w:t>
      </w:r>
    </w:p>
    <w:p>
      <w:pPr>
        <w:pStyle w:val="FirstParagraph"/>
      </w:pPr>
      <w:r>
        <w:t xml:space="preserve">One card per session, in card order within a stage; start each session with</w:t>
      </w:r>
      <w:r>
        <w:t xml:space="preserve"> </w:t>
      </w:r>
      <w:r>
        <w:t xml:space="preserve">“read</w:t>
      </w:r>
      <w:r>
        <w:t xml:space="preserve"> </w:t>
      </w:r>
      <w:r>
        <w:rPr>
          <w:rStyle w:val="VerbatimChar"/>
        </w:rPr>
        <w:t xml:space="preserve">handover.md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docs/czb_validation_roadmap.md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docs/czb_work_orders.md</w:t>
      </w:r>
      <w:r>
        <w:t xml:space="preserve">, then</w:t>
      </w:r>
      <w:r>
        <w:t xml:space="preserve"> </w:t>
      </w:r>
      <w:r>
        <w:t xml:space="preserve">execute card X and nothing else”</w:t>
      </w:r>
      <w:r>
        <w:t xml:space="preserve">; end each with the card’s report, a commit whose</w:t>
      </w:r>
      <w:r>
        <w:t xml:space="preserve"> </w:t>
      </w:r>
      <w:r>
        <w:t xml:space="preserve">message names the card, and one paragraph appended to the running log in</w:t>
      </w:r>
      <w:r>
        <w:t xml:space="preserve"> </w:t>
      </w:r>
      <w:r>
        <w:rPr>
          <w:rStyle w:val="VerbatimChar"/>
        </w:rPr>
        <w:t xml:space="preserve">replication/czb/out/worklog.md</w:t>
      </w:r>
      <w:r>
        <w:t xml:space="preserve">. Review sessions (stronger model) after A.2, A.3,</w:t>
      </w:r>
      <w:r>
        <w:t xml:space="preserve"> </w:t>
      </w:r>
      <w:r>
        <w:t xml:space="preserve">and B.4 at minimum.</w:t>
      </w:r>
    </w:p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2026-08-27T08:11:05Z</dcterms:created>
  <dcterms:modified xsi:type="dcterms:W3CDTF">2026-08-27T08:11:05Z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