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357732f00f248ce021222e1a964fa64480e69c3"/>
    <w:p>
      <w:pPr>
        <w:pStyle w:val="Heading1"/>
      </w:pPr>
      <w:r>
        <w:t xml:space="preserve">Crash causation with an active-inference response process: method and results</w:t>
      </w:r>
    </w:p>
    <w:p>
      <w:pPr>
        <w:pStyle w:val="FirstParagraph"/>
      </w:pPr>
      <w:r>
        <w:t xml:space="preserve">Results document, 2026-08-24 (revised the same day after the counterfactual and</w:t>
      </w:r>
      <w:r>
        <w:t xml:space="preserve"> </w:t>
      </w:r>
      <w:r>
        <w:t xml:space="preserve">glance-placement decisions; the first version's numbers are superseded but reproducible</w:t>
      </w:r>
      <w:r>
        <w:t xml:space="preserve"> </w:t>
      </w:r>
      <w:r>
        <w:t xml:space="preserve">from the tagged outputs). Prepared by Claude at the request of Jonas Bärgman. Markdown is</w:t>
      </w:r>
      <w:r>
        <w:t xml:space="preserve"> </w:t>
      </w:r>
      <w:r>
        <w:t xml:space="preserve">the source; Word and PDF are generated from it. The design, the reading notes on the</w:t>
      </w:r>
      <w:r>
        <w:t xml:space="preserve"> </w:t>
      </w:r>
      <w:r>
        <w:t xml:space="preserve">source papers, and the protocol live in</w:t>
      </w:r>
      <w:r>
        <w:t xml:space="preserve"> </w:t>
      </w:r>
      <w:r>
        <w:rPr>
          <w:rStyle w:val="VerbatimChar"/>
        </w:rPr>
        <w:t xml:space="preserve">docs/crash_causation_plan.md</w:t>
      </w:r>
      <w:r>
        <w:t xml:space="preserve">. Provenance tags:</w:t>
      </w:r>
      <w:r>
        <w:t xml:space="preserve"> </w:t>
      </w:r>
      <w:r>
        <w:t xml:space="preserve">[B24] Bärgman, Svärd, Lundell &amp; Hartelius (2024), [W25a] Wu et al. (2025, scenario</w:t>
      </w:r>
      <w:r>
        <w:t xml:space="preserve"> </w:t>
      </w:r>
      <w:r>
        <w:t xml:space="preserve">generation), [W26] Wu et al. (2026, practical validation), [Code] the Schumann et al.</w:t>
      </w:r>
      <w:r>
        <w:t xml:space="preserve"> </w:t>
      </w:r>
      <w:r>
        <w:t xml:space="preserve">released code, [OSF] their deposit, [Repo] this repository, [Opinion] a judgment.</w:t>
      </w:r>
    </w:p>
    <w:p>
      <w:r>
        <w:pict>
          <v:rect style="width:0;height:1.5pt" o:hralign="center" o:hrstd="t" o:hr="t"/>
        </w:pict>
      </w:r>
    </w:p>
    <w:bookmarkStart w:id="9" w:name="X1f1a5bb1feba11f6fda7d1d554aae8c69d5382a"/>
    <w:p>
      <w:pPr>
        <w:pStyle w:val="Heading2"/>
      </w:pPr>
      <w:r>
        <w:t xml:space="preserve">1 The method in one page</w:t>
      </w:r>
    </w:p>
    <w:p>
      <w:pPr>
        <w:pStyle w:val="FirstParagraph"/>
      </w:pPr>
      <w:r>
        <w:t xml:space="preserve">The question: can the active-inference driver model serve as the</w:t>
      </w:r>
      <w:r>
        <w:t xml:space="preserve"> </w:t>
      </w:r>
      <w:r>
        <w:rPr>
          <w:i/>
          <w:iCs/>
        </w:rPr>
        <w:t xml:space="preserve">response process</w:t>
      </w:r>
      <w:r>
        <w:t xml:space="preserve"> </w:t>
      </w:r>
      <w:r>
        <w:t xml:space="preserve">inside a crash-causation model — and what does it add or cost relative to the fixed-delay</w:t>
      </w:r>
      <w:r>
        <w:t xml:space="preserve"> </w:t>
      </w:r>
      <w:r>
        <w:t xml:space="preserve">response of the crash-causation model (CBM) of [B24]?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Seeds.</w:t>
      </w:r>
      <w:r>
        <w:t xml:space="preserve"> </w:t>
      </w:r>
      <w:r>
        <w:t xml:space="preserve">100 rear-end pre-crash scenarios sampled weight-proportionally (stratified</w:t>
      </w:r>
      <w:r>
        <w:t xml:space="preserve"> </w:t>
      </w:r>
      <w:r>
        <w:t xml:space="preserve">by initial speed) from the 5 000 synthetic QUADRIS scenarios of [W25a]; every seed</w:t>
      </w:r>
      <w:r>
        <w:t xml:space="preserve"> </w:t>
      </w:r>
      <w:r>
        <w:t xml:space="preserve">carries its real-world weight ω.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counterfactual.</w:t>
      </w:r>
      <w:r>
        <w:t xml:space="preserve"> </w:t>
      </w:r>
      <w:r>
        <w:t xml:space="preserve">Before the modeled response, the follower runs the seed's</w:t>
      </w:r>
      <w:r>
        <w:t xml:space="preserve"> </w:t>
      </w:r>
      <w:r>
        <w:t xml:space="preserve">original speed profile</w:t>
      </w:r>
      <w:r>
        <w:t xml:space="preserve"> </w:t>
      </w:r>
      <w:r>
        <w:rPr>
          <w:b/>
          <w:bCs/>
        </w:rPr>
        <w:t xml:space="preserve">with its braking removed from the lead's braking onset onward</w:t>
      </w:r>
      <w:r>
        <w:t xml:space="preserve"> </w:t>
      </w:r>
      <w:r>
        <w:t xml:space="preserve">(acceleration clamped at ≥ 0). This keeps the accelerating creeping/queue seeds intact</w:t>
      </w:r>
      <w:r>
        <w:t xml:space="preserve"> </w:t>
      </w:r>
      <w:r>
        <w:t xml:space="preserve">while excluding the generator-follower's own evasive action, which the plain "original"</w:t>
      </w:r>
      <w:r>
        <w:t xml:space="preserve"> </w:t>
      </w:r>
      <w:r>
        <w:t xml:space="preserve">profile embeds in 14 of 100 seeds. Clamping from t = 0 instead changes headline results</w:t>
      </w:r>
      <w:r>
        <w:t xml:space="preserve"> </w:t>
      </w:r>
      <w:r>
        <w:t xml:space="preserve">by only a few percent (section 4.4), so the rule choice is not consequential.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Causation components</w:t>
      </w:r>
      <w:r>
        <w:t xml:space="preserve">, each switchable: off-road glances, too-close following</w:t>
      </w:r>
      <w:r>
        <w:t xml:space="preserve"> </w:t>
      </w:r>
      <w:r>
        <w:t xml:space="preserve">(inherent in the seed), a maximum-deceleration cap, a no-response mixture (10% of</w:t>
      </w:r>
      <w:r>
        <w:t xml:space="preserve"> </w:t>
      </w:r>
      <w:r>
        <w:t xml:space="preserve">crashes [B24]), and — added at the study's request — the</w:t>
      </w:r>
      <w:r>
        <w:t xml:space="preserve"> </w:t>
      </w:r>
      <w:r>
        <w:rPr>
          <w:b/>
          <w:bCs/>
        </w:rPr>
        <w:t xml:space="preserve">abnormal-acceleration</w:t>
      </w:r>
      <w:r>
        <w:rPr>
          <w:b/>
          <w:bCs/>
        </w:rPr>
        <w:t xml:space="preserve"> </w:t>
      </w:r>
      <w:r>
        <w:rPr>
          <w:b/>
          <w:bCs/>
        </w:rPr>
        <w:t xml:space="preserve">follower</w:t>
      </w:r>
      <w:r>
        <w:t xml:space="preserve"> </w:t>
      </w:r>
      <w:r>
        <w:t xml:space="preserve">of [W25a]: 9.2% of crashes, the follower ignoring the lead at a constant</w:t>
      </w:r>
      <w:r>
        <w:t xml:space="preserve"> </w:t>
      </w:r>
      <w:r>
        <w:t xml:space="preserve">+1.8 m/s² (their fitted mean; their onset-time distribution is unpublished, so the</w:t>
      </w:r>
      <w:r>
        <w:t xml:space="preserve"> </w:t>
      </w:r>
      <w:r>
        <w:t xml:space="preserve">acceleration is applied from the lead's braking onset).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 distributions</w:t>
      </w:r>
      <w:r>
        <w:t xml:space="preserve"> </w:t>
      </w:r>
      <w:r>
        <w:t xml:space="preserve">digitized from [B24]'s published figures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replication/causation/digitize_b24.py</w:t>
      </w:r>
      <w:r>
        <w:t xml:space="preserve">): the SHRP2 off-road glance distribution</w:t>
      </w:r>
      <w:r>
        <w:t xml:space="preserve"> </w:t>
      </w:r>
      <w:r>
        <w:t xml:space="preserve">(vector-exact; two independent axis calibrations agree within 0.9%; on-road point mass</w:t>
      </w:r>
      <w:r>
        <w:t xml:space="preserve"> </w:t>
      </w:r>
      <w:r>
        <w:t xml:space="preserve">0.80) and the 45-crash maximum-deceleration histogram (integer counts summing to</w:t>
      </w:r>
      <w:r>
        <w:t xml:space="preserve"> </w:t>
      </w:r>
      <w:r>
        <w:t xml:space="preserve">exactly 45).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Glance placement.</w:t>
      </w:r>
      <w:r>
        <w:t xml:space="preserve"> </w:t>
      </w:r>
      <w:r>
        <w:t xml:space="preserve">Primary: the</w:t>
      </w:r>
      <w:r>
        <w:t xml:space="preserve"> </w:t>
      </w:r>
      <w:r>
        <w:rPr>
          <w:b/>
          <w:bCs/>
        </w:rPr>
        <w:t xml:space="preserve">renewal process</w:t>
      </w:r>
      <w:r>
        <w:t xml:space="preserve"> </w:t>
      </w:r>
      <w:r>
        <w:t xml:space="preserve">— on/off glance sequences over</w:t>
      </w:r>
      <w:r>
        <w:t xml:space="preserve"> </w:t>
      </w:r>
      <w:r>
        <w:t xml:space="preserve">the whole scenario, off-road durations from the digitized distribution, on-road dwells</w:t>
      </w:r>
      <w:r>
        <w:t xml:space="preserve"> </w:t>
      </w:r>
      <w:r>
        <w:t xml:space="preserve">exponential with the mean set by the 80% on-road share, 50 Monte Carlo draws per seed</w:t>
      </w:r>
      <w:r>
        <w:t xml:space="preserve"> </w:t>
      </w:r>
      <w:r>
        <w:t xml:space="preserve">(flagged for a later increase). The [B24] anchored-overshot construction is kept as the</w:t>
      </w:r>
      <w:r>
        <w:t xml:space="preserve"> </w:t>
      </w:r>
      <w:r>
        <w:t xml:space="preserve">CBM-native comparison case; section 4.5 quantifies what the process placement buys.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response processes</w:t>
      </w:r>
      <w:r>
        <w:t xml:space="preserve"> </w:t>
      </w:r>
      <w:r>
        <w:t xml:space="preserve">behind one interface: the CBM's (respond 0.5 s after eyes</w:t>
      </w:r>
      <w:r>
        <w:t xml:space="preserve"> </w:t>
      </w:r>
      <w:r>
        <w:t xml:space="preserve">return; ramp to the drawn deceleration) and the tier-1 active-inference surrogate (the</w:t>
      </w:r>
      <w:r>
        <w:t xml:space="preserve"> </w:t>
      </w:r>
      <w:r>
        <w:t xml:space="preserve">model's preference function on the seed kinematics, fed through its evidence</w:t>
      </w:r>
      <w:r>
        <w:t xml:space="preserve"> </w:t>
      </w:r>
      <w:r>
        <w:t xml:space="preserve">accumulator, drift rate calibrated on the authors' 896 deposited trials [Repo]).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Conditions.</w:t>
      </w:r>
      <w:r>
        <w:t xml:space="preserve"> </w:t>
      </w:r>
      <w:r>
        <w:t xml:space="preserve">A: attentive active inference (benchmark). B: active inference + all</w:t>
      </w:r>
      <w:r>
        <w:t xml:space="preserve"> </w:t>
      </w:r>
      <w:r>
        <w:t xml:space="preserve">components. C: CBM response + all components (the control). D: active inference +</w:t>
      </w:r>
      <w:r>
        <w:t xml:space="preserve"> </w:t>
      </w:r>
      <w:r>
        <w:t xml:space="preserve">glances 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Comparison</w:t>
      </w:r>
      <w:r>
        <w:t xml:space="preserve"> </w:t>
      </w:r>
      <w:r>
        <w:t xml:space="preserve">against the full 5 000-scenario reference with the [W26] equivalence</w:t>
      </w:r>
      <w:r>
        <w:t xml:space="preserve"> </w:t>
      </w:r>
      <w:r>
        <w:t xml:space="preserve">framework (θ/Θ, ROPEs 0.10/0.05, bootstrap HDIs), crashes weighted by Eq. 10, plus the</w:t>
      </w:r>
      <w:r>
        <w:t xml:space="preserve"> </w:t>
      </w:r>
      <w:r>
        <w:t xml:space="preserve">exposure-weight variant (plan §6b). Metrics: P_inj,</w:t>
      </w:r>
      <w:r>
        <w:t xml:space="preserve"> </w:t>
      </w:r>
      <w:r>
        <w:rPr>
          <w:b/>
          <w:bCs/>
        </w:rPr>
        <w:t xml:space="preserve">relative speed at impact</w:t>
      </w:r>
      <w:r>
        <w:t xml:space="preserve"> </w:t>
      </w:r>
      <w:r>
        <w:t xml:space="preserve">(the</w:t>
      </w:r>
      <w:r>
        <w:t xml:space="preserve"> </w:t>
      </w:r>
      <w:r>
        <w:t xml:space="preserve">assumption-free severity primitive; the deposit's delta-v was derived from it under</w:t>
      </w:r>
      <w:r>
        <w:t xml:space="preserve"> </w:t>
      </w:r>
      <w:r>
        <w:t xml:space="preserve">equal masses), t_nr, and the follower's minimum acceleration.</w:t>
      </w:r>
    </w:p>
    <w:bookmarkEnd w:id="9"/>
    <w:bookmarkStart w:id="13" w:name="X71a36c1abadc6ecfd177549a6038aa96fd56286"/>
    <w:p>
      <w:pPr>
        <w:pStyle w:val="Heading2"/>
      </w:pPr>
      <w:r>
        <w:t xml:space="preserve">2 Input distributions</w:t>
      </w:r>
    </w:p>
    <w:p>
      <w:pPr>
        <w:pStyle w:val="FirstParagraph"/>
      </w:pPr>
      <w:r>
        <w:drawing>
          <wp:inline>
            <wp:extent cx="5334000" cy="1946189"/>
            <wp:effectExtent b="0" l="0" r="0" t="0"/>
            <wp:docPr descr="Digitized input distributions against the earlier stand-ins" title="" id="11" name="Picture"/>
            <a:graphic>
              <a:graphicData uri="http://schemas.openxmlformats.org/drawingml/2006/picture">
                <pic:pic>
                  <pic:nvPicPr>
                    <pic:cNvPr descr="causation_figures/fig_input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digitized glance distribution is close to the earlier lognormal stand-in (mode ~0.2 s</w:t>
      </w:r>
      <w:r>
        <w:t xml:space="preserve"> </w:t>
      </w:r>
      <w:r>
        <w:t xml:space="preserve">later); the deceleration distribution is not — the real one has 24% of its mass at</w:t>
      </w:r>
      <w:r>
        <w:t xml:space="preserve"> </w:t>
      </w:r>
      <w:r>
        <w:t xml:space="preserve">7.5 m/s² and harder, where the stand-in had almost none. All results below use the</w:t>
      </w:r>
      <w:r>
        <w:t xml:space="preserve"> </w:t>
      </w:r>
      <w:r>
        <w:t xml:space="preserve">digitized distributions.</w:t>
      </w:r>
    </w:p>
    <w:bookmarkEnd w:id="13"/>
    <w:bookmarkStart w:id="14" w:name="X340a8785839b9c518b28d3061e199074ca7744a"/>
    <w:p>
      <w:pPr>
        <w:pStyle w:val="Heading2"/>
      </w:pPr>
      <w:r>
        <w:t xml:space="preserve">3 Crash generation</w:t>
      </w:r>
    </w:p>
    <w:p>
      <w:pPr>
        <w:pStyle w:val="FirstParagraph"/>
      </w:pPr>
      <w:r>
        <w:t xml:space="preserve">With the no-brake counterfactual and process glances (the primary configuration; anchored</w:t>
      </w:r>
      <w:r>
        <w:t xml:space="preserve"> </w:t>
      </w:r>
      <w:r>
        <w:t xml:space="preserve">placement for condition A, which has no glances):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seeds crashing (any draw)</w:t>
            </w:r>
          </w:p>
        </w:tc>
        <w:tc>
          <w:tcPr/>
          <w:p>
            <w:pPr>
              <w:pStyle w:val="Compact"/>
            </w:pPr>
            <w:r>
              <w:t xml:space="preserve">weighted crash prob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decel. cap</w:t>
            </w:r>
          </w:p>
        </w:tc>
        <w:tc>
          <w:tcPr/>
          <w:p>
            <w:pPr>
              <w:pStyle w:val="Compact"/>
            </w:pPr>
            <w:r>
              <w:t xml:space="preserve">24/100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glances, decel. cap, no-response</w:t>
            </w:r>
          </w:p>
        </w:tc>
        <w:tc>
          <w:tcPr/>
          <w:p>
            <w:pPr>
              <w:pStyle w:val="Compact"/>
            </w:pPr>
            <w:r>
              <w:t xml:space="preserve">99/100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CBM (control)</w:t>
            </w:r>
          </w:p>
        </w:tc>
        <w:tc>
          <w:tcPr/>
          <w:p>
            <w:pPr>
              <w:pStyle w:val="Compact"/>
            </w:pPr>
            <w:r>
              <w:t xml:space="preserve">glances, decel. cap, no-response</w:t>
            </w:r>
          </w:p>
        </w:tc>
        <w:tc>
          <w:tcPr/>
          <w:p>
            <w:pPr>
              <w:pStyle w:val="Compact"/>
            </w:pPr>
            <w:r>
              <w:t xml:space="preserve">56/100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active inference</w:t>
            </w:r>
          </w:p>
        </w:tc>
        <w:tc>
          <w:tcPr/>
          <w:p>
            <w:pPr>
              <w:pStyle w:val="Compact"/>
            </w:pPr>
            <w:r>
              <w:t xml:space="preserve">glances, decel. cap</w:t>
            </w:r>
          </w:p>
        </w:tc>
        <w:tc>
          <w:tcPr/>
          <w:p>
            <w:pPr>
              <w:pStyle w:val="Compact"/>
            </w:pPr>
            <w:r>
              <w:t xml:space="preserve">99/100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attentive active-inference driver avoids 76 of 100 QUADRIS crash seeds</w:t>
      </w:r>
      <w:r>
        <w:t xml:space="preserve"> </w:t>
      </w:r>
      <w:r>
        <w:t xml:space="preserve">across</w:t>
      </w:r>
      <w:r>
        <w:t xml:space="preserve"> </w:t>
      </w:r>
      <w:r>
        <w:t xml:space="preserve">the full deceleration sweep; the 24 that crash in some bin are the kinematically hard</w:t>
      </w:r>
      <w:r>
        <w:t xml:space="preserve"> </w:t>
      </w:r>
      <w:r>
        <w:t xml:space="preserve">core.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response process drives a factor ~4–5 in crash probability</w:t>
      </w:r>
      <w:r>
        <w:t xml:space="preserve"> </w:t>
      </w:r>
      <w:r>
        <w:t xml:space="preserve">(B 0.023 versus C</w:t>
      </w:r>
      <w:r>
        <w:t xml:space="preserve"> </w:t>
      </w:r>
      <w:r>
        <w:t xml:space="preserve">0.005 with identical components), from timing: the active-inference accumulator's</w:t>
      </w:r>
      <w:r>
        <w:t xml:space="preserve"> </w:t>
      </w:r>
      <w:r>
        <w:t xml:space="preserve">attentive onsets sit at a median 1.25 s after the τ⁻¹ = 0.2 s⁻¹ anchor (IQR</w:t>
      </w:r>
      <w:r>
        <w:t xml:space="preserve"> </w:t>
      </w:r>
      <w:r>
        <w:t xml:space="preserve">0.50–1.75 s) against the CBM's fixed 0.50 s (section 5).</w:t>
      </w:r>
    </w:p>
    <w:p>
      <w:pPr>
        <w:pStyle w:val="Compact"/>
        <w:numPr>
          <w:ilvl w:val="0"/>
          <w:numId w:val="1002"/>
        </w:numPr>
      </w:pPr>
      <w:r>
        <w:t xml:space="preserve">The crash rate was initially sensitive to the accumulator's starting level (zero</w:t>
      </w:r>
      <w:r>
        <w:t xml:space="preserve"> </w:t>
      </w:r>
      <w:r>
        <w:t xml:space="preserve">start 0.023 versus 0.004 with a "stationary" half-threshold start), but the tier-2</w:t>
      </w:r>
      <w:r>
        <w:t xml:space="preserve"> </w:t>
      </w:r>
      <w:r>
        <w:t xml:space="preserve">arbiter run has</w:t>
      </w:r>
      <w:r>
        <w:t xml:space="preserve"> </w:t>
      </w:r>
      <w:r>
        <w:rPr>
          <w:b/>
          <w:bCs/>
        </w:rPr>
        <w:t xml:space="preserve">resolved the convention in favor of the zero start</w:t>
      </w:r>
      <w:r>
        <w:t xml:space="preserve"> </w:t>
      </w:r>
      <w:r>
        <w:t xml:space="preserve">(section 5):</w:t>
      </w:r>
      <w:r>
        <w:t xml:space="preserve"> </w:t>
      </w:r>
      <w:r>
        <w:t xml:space="preserve">the closed-loop model's own onsets match the zero-start surrogate to a median 0.30 s</w:t>
      </w:r>
      <w:r>
        <w:t xml:space="preserve"> </w:t>
      </w:r>
      <w:r>
        <w:t xml:space="preserve">across 23 seeds and reject the stationary start on 19 of 23. The 0.023 figure stands;</w:t>
      </w:r>
      <w:r>
        <w:t xml:space="preserve"> </w:t>
      </w:r>
      <w:r>
        <w:t xml:space="preserve">the stationary variant remains in the outputs as a tested-and-rejected sensitivity.</w:t>
      </w:r>
    </w:p>
    <w:bookmarkEnd w:id="14"/>
    <w:bookmarkStart w:id="23" w:name="X47a4b700e31e68028811ab4fce23a3fff08364a"/>
    <w:p>
      <w:pPr>
        <w:pStyle w:val="Heading2"/>
      </w:pPr>
      <w:r>
        <w:t xml:space="preserve">4 Comparison with the original data</w:t>
      </w:r>
    </w:p>
    <w:bookmarkStart w:id="15" w:name="X5a4e2d8eb412dfd56959f719133e5803f42b7bb"/>
    <w:p>
      <w:pPr>
        <w:pStyle w:val="Heading3"/>
      </w:pPr>
      <w:r>
        <w:t xml:space="preserve">4.1 Summary statistics</w:t>
      </w:r>
    </w:p>
    <w:p>
      <w:pPr>
        <w:pStyle w:val="FirstParagraph"/>
      </w:pPr>
      <w:r>
        <w:t xml:space="preserve">Weighted medians (weighted mean for P_inj); reference weighted by ω, conditions by the</w:t>
      </w:r>
      <w:r>
        <w:t xml:space="preserve"> </w:t>
      </w:r>
      <w:r>
        <w:t xml:space="preserve">Eq. 10 crash weights: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rel. speed at impact [m/s]</w:t>
            </w:r>
          </w:p>
        </w:tc>
        <w:tc>
          <w:tcPr/>
          <w:p>
            <w:pPr>
              <w:pStyle w:val="Compact"/>
            </w:pPr>
            <w:r>
              <w:t xml:space="preserve">mean P_inj</w:t>
            </w:r>
          </w:p>
        </w:tc>
        <w:tc>
          <w:tcPr/>
          <w:p>
            <w:pPr>
              <w:pStyle w:val="Compact"/>
            </w:pPr>
            <w:r>
              <w:t xml:space="preserve">t_nr [s]</w:t>
            </w:r>
          </w:p>
        </w:tc>
        <w:tc>
          <w:tcPr/>
          <w:p>
            <w:pPr>
              <w:pStyle w:val="Compact"/>
            </w:pPr>
            <w:r>
              <w:t xml:space="preserve">follower a_min [m/s²]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QUADRIS reference (n = 5 000)</w:t>
            </w:r>
          </w:p>
        </w:tc>
        <w:tc>
          <w:tcPr/>
          <w:p>
            <w:pPr>
              <w:pStyle w:val="Compact"/>
            </w:pPr>
            <w:r>
              <w:t xml:space="preserve">3.54</w:t>
            </w:r>
          </w:p>
        </w:tc>
        <w:tc>
          <w:tcPr/>
          <w:p>
            <w:pPr>
              <w:pStyle w:val="Compact"/>
            </w:pPr>
            <w:r>
              <w:t xml:space="preserve">0.0062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−1.03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B: active inference, process glances</w:t>
            </w:r>
          </w:p>
        </w:tc>
        <w:tc>
          <w:tcPr/>
          <w:p>
            <w:pPr>
              <w:pStyle w:val="Compact"/>
            </w:pPr>
            <w:r>
              <w:t xml:space="preserve">1.88</w:t>
            </w:r>
          </w:p>
        </w:tc>
        <w:tc>
          <w:tcPr/>
          <w:p>
            <w:pPr>
              <w:pStyle w:val="Compact"/>
            </w:pPr>
            <w:r>
              <w:t xml:space="preserve">0.0048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C: CBM, process glances</w:t>
            </w:r>
          </w:p>
        </w:tc>
        <w:tc>
          <w:tcPr/>
          <w:p>
            <w:pPr>
              <w:pStyle w:val="Compact"/>
            </w:pPr>
            <w:r>
              <w:t xml:space="preserve">4.25</w:t>
            </w:r>
          </w:p>
        </w:tc>
        <w:tc>
          <w:tcPr/>
          <w:p>
            <w:pPr>
              <w:pStyle w:val="Compact"/>
            </w:pPr>
            <w:r>
              <w:t xml:space="preserve">0.0055</w:t>
            </w:r>
          </w:p>
        </w:tc>
        <w:tc>
          <w:tcPr/>
          <w:p>
            <w:pPr>
              <w:pStyle w:val="Compact"/>
            </w:pPr>
            <w:r>
              <w:t xml:space="preserve">−0.20</w:t>
            </w:r>
          </w:p>
        </w:tc>
        <w:tc>
          <w:tcPr/>
          <w:p>
            <w:pPr>
              <w:pStyle w:val="Compact"/>
            </w:pPr>
            <w:r>
              <w:t xml:space="preserve">−3.75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+ abnormal acceleration</w:t>
            </w:r>
          </w:p>
        </w:tc>
        <w:tc>
          <w:tcPr/>
          <w:p>
            <w:pPr>
              <w:pStyle w:val="Compact"/>
            </w:pPr>
            <w:r>
              <w:t xml:space="preserve">2.61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0.0063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+ abnormal acceleration</w:t>
            </w:r>
          </w:p>
        </w:tc>
        <w:tc>
          <w:tcPr/>
          <w:p>
            <w:pPr>
              <w:pStyle w:val="Compact"/>
            </w:pPr>
            <w:r>
              <w:t xml:space="preserve">4.41</w:t>
            </w:r>
          </w:p>
        </w:tc>
        <w:tc>
          <w:tcPr/>
          <w:p>
            <w:pPr>
              <w:pStyle w:val="Compact"/>
            </w:pPr>
            <w:r>
              <w:t xml:space="preserve">0.0069</w:t>
            </w:r>
          </w:p>
        </w:tc>
        <w:tc>
          <w:tcPr/>
          <w:p>
            <w:pPr>
              <w:pStyle w:val="Compact"/>
            </w:pPr>
            <w:r>
              <w:t xml:space="preserve">−0.20</w:t>
            </w:r>
          </w:p>
        </w:tc>
        <w:tc>
          <w:tcPr/>
          <w:p>
            <w:pPr>
              <w:pStyle w:val="Compact"/>
            </w:pPr>
            <w:r>
              <w:t xml:space="preserve">−3.75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stationary accumulator</w:t>
            </w:r>
          </w:p>
        </w:tc>
        <w:tc>
          <w:tcPr/>
          <w:p>
            <w:pPr>
              <w:pStyle w:val="Compact"/>
            </w:pPr>
            <w:r>
              <w:t xml:space="preserve">3.42</w:t>
            </w:r>
          </w:p>
        </w:tc>
        <w:tc>
          <w:tcPr/>
          <w:p>
            <w:pPr>
              <w:pStyle w:val="Compact"/>
            </w:pPr>
            <w:r>
              <w:t xml:space="preserve">0.0052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−2.85</w:t>
            </w:r>
          </w:p>
        </w:tc>
      </w:tr>
    </w:tbl>
    <w:bookmarkEnd w:id="15"/>
    <w:bookmarkStart w:id="19" w:name="X348885e2cc4ea17392f6a304a1eb6dce682ea62"/>
    <w:p>
      <w:pPr>
        <w:pStyle w:val="Heading3"/>
      </w:pPr>
      <w:r>
        <w:t xml:space="preserve">4.2 Distributions</w:t>
      </w:r>
    </w:p>
    <w:p>
      <w:pPr>
        <w:pStyle w:val="FirstParagraph"/>
      </w:pPr>
      <w:r>
        <w:drawing>
          <wp:inline>
            <wp:extent cx="5334000" cy="1874108"/>
            <wp:effectExtent b="0" l="0" r="0" t="0"/>
            <wp:docPr descr="Weighted metric distributions: reference vs conditions B and C" title="" id="17" name="Picture"/>
            <a:graphic>
              <a:graphicData uri="http://schemas.openxmlformats.org/drawingml/2006/picture">
                <pic:pic>
                  <pic:nvPicPr>
                    <pic:cNvPr descr="causation_figures/fig_metric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4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Severity (relative speed at impact).</w:t>
      </w:r>
      <w:r>
        <w:t xml:space="preserve"> </w:t>
      </w:r>
      <w:r>
        <w:t xml:space="preserve">Condition B tracks the reference's tail well</w:t>
      </w:r>
      <w:r>
        <w:t xml:space="preserve"> </w:t>
      </w:r>
      <w:r>
        <w:t xml:space="preserve">and over-produces only the mildest bin; condition C now over-produces</w:t>
      </w:r>
      <w:r>
        <w:t xml:space="preserve"> </w:t>
      </w:r>
      <w:r>
        <w:rPr>
          <w:i/>
          <w:iCs/>
        </w:rPr>
        <w:t xml:space="preserve">moderate</w:t>
      </w:r>
      <w:r>
        <w:t xml:space="preserve"> </w:t>
      </w:r>
      <w:r>
        <w:t xml:space="preserve">severities — its fixed 0.5 s response is fast enough that hard crashes are rare but</w:t>
      </w:r>
      <w:r>
        <w:t xml:space="preserve"> </w:t>
      </w:r>
      <w:r>
        <w:t xml:space="preserve">slow enough that many glance draws end in 3–8 m/s impacts.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Urgency (t_nr).</w:t>
      </w:r>
      <w:r>
        <w:t xml:space="preserve"> </w:t>
      </w:r>
      <w:r>
        <w:t xml:space="preserve">Essentially inherited from the seeds by both models, as before.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Braking (follower minimum acceleration).</w:t>
      </w:r>
      <w:r>
        <w:t xml:space="preserve"> </w:t>
      </w:r>
      <w:r>
        <w:t xml:space="preserve">The structural mismatch of the first</w:t>
      </w:r>
      <w:r>
        <w:t xml:space="preserve"> </w:t>
      </w:r>
      <w:r>
        <w:t xml:space="preserve">analysis is largely resolved for condition B: with the no-brake counterfactual and</w:t>
      </w:r>
      <w:r>
        <w:t xml:space="preserve"> </w:t>
      </w:r>
      <w:r>
        <w:t xml:space="preserve">process glances, crashes in which the follower never brakes (glance or no-response</w:t>
      </w:r>
      <w:r>
        <w:t xml:space="preserve"> </w:t>
      </w:r>
      <w:r>
        <w:t xml:space="preserve">covering the conflict) now dominate, matching the reference's non-braking spike. The</w:t>
      </w:r>
      <w:r>
        <w:t xml:space="preserve"> </w:t>
      </w:r>
      <w:r>
        <w:t xml:space="preserve">crash-weighted median follower in B does not brake at all — as in the reference.</w:t>
      </w:r>
      <w:r>
        <w:t xml:space="preserve"> </w:t>
      </w:r>
      <w:r>
        <w:t xml:space="preserve">Condition C retains its hard-braking spikes at the deceleration-bin values.</w:t>
      </w:r>
    </w:p>
    <w:bookmarkEnd w:id="19"/>
    <w:bookmarkStart w:id="20" w:name="X3039079f3434ca22b93659c92847c35f4c836c9"/>
    <w:p>
      <w:pPr>
        <w:pStyle w:val="Heading3"/>
      </w:pPr>
      <w:r>
        <w:t xml:space="preserve">4.3 Equivalence statistics and the sensitivity ladder</w:t>
      </w:r>
    </w:p>
    <w:p>
      <w:pPr>
        <w:pStyle w:val="FirstParagraph"/>
      </w:pPr>
      <w:r>
        <w:t xml:space="preserve">No configuration reaches practical equivalence (ROPE 0.10 for θ; full tables in</w:t>
      </w:r>
      <w:r>
        <w:t xml:space="preserve"> </w:t>
      </w:r>
      <w:r>
        <w:rPr>
          <w:rStyle w:val="VerbatimChar"/>
        </w:rPr>
        <w:t xml:space="preserve">replication/causation/out/summary_nb*.md</w:t>
      </w:r>
      <w:r>
        <w:t xml:space="preserve">), but the distance now has a visible</w:t>
      </w:r>
      <w:r>
        <w:t xml:space="preserve"> </w:t>
      </w:r>
      <w:r>
        <w:t xml:space="preserve">structure. Headline θ for P_inj (= relative impact speed; the two give identical bins),</w:t>
      </w:r>
      <w:r>
        <w:t xml:space="preserve"> </w:t>
      </w:r>
      <w:r>
        <w:t xml:space="preserve">Eq. 10 weights, 95% bootstrap HDIs: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P_inj θ</w:t>
            </w:r>
          </w:p>
        </w:tc>
        <w:tc>
          <w:tcPr/>
          <w:p>
            <w:pPr>
              <w:pStyle w:val="Compact"/>
            </w:pPr>
            <w:r>
              <w:t xml:space="preserve">t_nr θ</w:t>
            </w:r>
          </w:p>
        </w:tc>
        <w:tc>
          <w:tcPr/>
          <w:p>
            <w:pPr>
              <w:pStyle w:val="Compact"/>
            </w:pPr>
            <w:r>
              <w:t xml:space="preserve">a_f,min θ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embedded-evasive counterfactual (superseded)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no-brake counterfactual, anchored glances</w:t>
            </w:r>
          </w:p>
        </w:tc>
        <w:tc>
          <w:tcPr/>
          <w:p>
            <w:pPr>
              <w:pStyle w:val="Compact"/>
            </w:pPr>
            <w:r>
              <w:t xml:space="preserve">0.87 [0.82, 0.99]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+ process glances (primary)</w:t>
            </w:r>
          </w:p>
        </w:tc>
        <w:tc>
          <w:tcPr/>
          <w:p>
            <w:pPr>
              <w:pStyle w:val="Compact"/>
            </w:pPr>
            <w:r>
              <w:t xml:space="preserve">0.61 [0.55, 0.76]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+ abnormal acceleration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0.46 [0.41, 0.60]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process, stationary accumulator</w:t>
            </w:r>
          </w:p>
        </w:tc>
        <w:tc>
          <w:tcPr/>
          <w:p>
            <w:pPr>
              <w:pStyle w:val="Compact"/>
            </w:pPr>
            <w:r>
              <w:t xml:space="preserve">0.42 [0.29, 0.52]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C, no-brake, anchored (CBM-native)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0.40 [0.36, 0.46]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1.81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C, + process glances</w:t>
            </w:r>
          </w:p>
        </w:tc>
        <w:tc>
          <w:tcPr/>
          <w:p>
            <w:pPr>
              <w:pStyle w:val="Compact"/>
            </w:pPr>
            <w:r>
              <w:t xml:space="preserve">0.63 [0.44, 0.74]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1.61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C, + abnormal acceleration</w:t>
            </w:r>
          </w:p>
        </w:tc>
        <w:tc>
          <w:tcPr/>
          <w:p>
            <w:pPr>
              <w:pStyle w:val="Compact"/>
            </w:pPr>
            <w:r>
              <w:t xml:space="preserve">0.59 [0.42, 0.71]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</w:tr>
    </w:tbl>
    <w:p>
      <w:pPr>
        <w:pStyle w:val="BodyText"/>
      </w:pPr>
      <w:r>
        <w:t xml:space="preserve">Readings: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Each methodological correction moved condition B toward the reference</w:t>
      </w:r>
      <w:r>
        <w:t xml:space="preserve">: removing the</w:t>
      </w:r>
      <w:r>
        <w:t xml:space="preserve"> </w:t>
      </w:r>
      <w:r>
        <w:t xml:space="preserve">embedded evasive action (1.44 → 0.87), placing glances as a process (→ 0.61), adding</w:t>
      </w:r>
      <w:r>
        <w:t xml:space="preserve"> </w:t>
      </w:r>
      <w:r>
        <w:t xml:space="preserve">the abnormal-acceleration component (→ 0.46). The remaining distance is dominated by</w:t>
      </w:r>
      <w:r>
        <w:t xml:space="preserve"> </w:t>
      </w:r>
      <w:r>
        <w:t xml:space="preserve">the over-produced mildest-severity bin.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best active-inference configurations now sit at the CBM control's level</w:t>
      </w:r>
      <w:r>
        <w:t xml:space="preserve"> </w:t>
      </w:r>
      <w:r>
        <w:t xml:space="preserve">(θ ≈ 0.4–0.5 for both) — the response-model gap visible in the first analysis was</w:t>
      </w:r>
      <w:r>
        <w:t xml:space="preserve"> </w:t>
      </w:r>
      <w:r>
        <w:t xml:space="preserve">largely an artifact of the embedded evasive action and the anchor-locked glances.</w:t>
      </w:r>
      <w:r>
        <w:t xml:space="preserve"> </w:t>
      </w:r>
      <w:r>
        <w:t xml:space="preserve">What still separates the two models is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they miss: B misses on mild crashes,</w:t>
      </w:r>
      <w:r>
        <w:t xml:space="preserve"> </w:t>
      </w:r>
      <w:r>
        <w:t xml:space="preserve">C on moderate ones and on the braking distribution (a_f,min θ 1.4–1.8 versus B's</w:t>
      </w:r>
      <w:r>
        <w:t xml:space="preserve"> </w:t>
      </w:r>
      <w:r>
        <w:t xml:space="preserve">1.0–1.4).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abnormal-acceleration component works as intended</w:t>
      </w:r>
      <w:r>
        <w:t xml:space="preserve">: it restores the reference's</w:t>
      </w:r>
      <w:r>
        <w:t xml:space="preserve"> </w:t>
      </w:r>
      <w:r>
        <w:t xml:space="preserve">mean injury risk exactly for B (0.0063 vs 0.0062) by adding the harder, non-braking</w:t>
      </w:r>
      <w:r>
        <w:t xml:space="preserve"> </w:t>
      </w:r>
      <w:r>
        <w:t xml:space="preserve">crashes the four [B24] mechanisms cannot produce. Its cost is a slight overshoot for C.</w:t>
      </w:r>
    </w:p>
    <w:bookmarkEnd w:id="20"/>
    <w:bookmarkStart w:id="21" w:name="X99ddb65390b569089d87fa82ea6c5749a045266"/>
    <w:p>
      <w:pPr>
        <w:pStyle w:val="Heading3"/>
      </w:pPr>
      <w:r>
        <w:t xml:space="preserve">4.4 The counterfactual rule barely matters</w:t>
      </w:r>
    </w:p>
    <w:p>
      <w:pPr>
        <w:pStyle w:val="FirstParagraph"/>
      </w:pPr>
      <w:r>
        <w:t xml:space="preserve">Clamping the follower's braking from t = 0 instead of from the lead's onset changes B's</w:t>
      </w:r>
      <w:r>
        <w:t xml:space="preserve"> </w:t>
      </w:r>
      <w:r>
        <w:t xml:space="preserve">P_inj θ from 0.87 to 0.82 and C's from 0.400 to 0.396 (anchored glances) — the choice of</w:t>
      </w:r>
      <w:r>
        <w:t xml:space="preserve"> </w:t>
      </w:r>
      <w:r>
        <w:t xml:space="preserve">clamp rule is not a consequential degree of freedom.</w:t>
      </w:r>
    </w:p>
    <w:bookmarkEnd w:id="21"/>
    <w:bookmarkStart w:id="22" w:name="X5cc5553511379a0f46682350d115d1c628799c1"/>
    <w:p>
      <w:pPr>
        <w:pStyle w:val="Heading3"/>
      </w:pPr>
      <w:r>
        <w:t xml:space="preserve">4.5 What the process placement buys, against its cost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b/>
          <w:bCs/>
        </w:rPr>
        <w:t xml:space="preserve">active-inference</w:t>
      </w:r>
      <w:r>
        <w:t xml:space="preserve"> </w:t>
      </w:r>
      <w:r>
        <w:t xml:space="preserve">response, process glances improve severity equivalence</w:t>
      </w:r>
      <w:r>
        <w:t xml:space="preserve"> </w:t>
      </w:r>
      <w:r>
        <w:t xml:space="preserve">substantially (P_inj θ 0.87 → 0.61) besides being theoretically required (the anchored</w:t>
      </w:r>
      <w:r>
        <w:t xml:space="preserve"> </w:t>
      </w:r>
      <w:r>
        <w:t xml:space="preserve">construction assumes the response cannot depend on pre-anchor glance history, which is</w:t>
      </w:r>
      <w:r>
        <w:t xml:space="preserve"> </w:t>
      </w:r>
      <w:r>
        <w:t xml:space="preserve">false for an accumulator). For the</w:t>
      </w:r>
      <w:r>
        <w:t xml:space="preserve"> </w:t>
      </w:r>
      <w:r>
        <w:rPr>
          <w:b/>
          <w:bCs/>
        </w:rPr>
        <w:t xml:space="preserve">CBM</w:t>
      </w:r>
      <w:r>
        <w:t xml:space="preserve">, the anchored construction — which is exactly</w:t>
      </w:r>
      <w:r>
        <w:t xml:space="preserve"> </w:t>
      </w:r>
      <w:r>
        <w:t xml:space="preserve">Markkula's shortcut for a fixed-delay responder — performs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the process</w:t>
      </w:r>
      <w:r>
        <w:t xml:space="preserve"> </w:t>
      </w:r>
      <w:r>
        <w:t xml:space="preserve">variant (0.40 vs 0.63), partly because the process run's smaller crash-record count</w:t>
      </w:r>
      <w:r>
        <w:t xml:space="preserve"> </w:t>
      </w:r>
      <w:r>
        <w:t xml:space="preserve">(2 076 vs 11 587) widens its uncertainty. Cost: 50 draws per seed versus ~12 bins,</w:t>
      </w:r>
      <w:r>
        <w:t xml:space="preserve"> </w:t>
      </w:r>
      <w:r>
        <w:t xml:space="preserve">minutes either way at tier 1. Conclusion: process placement for active inference,</w:t>
      </w:r>
      <w:r>
        <w:t xml:space="preserve"> </w:t>
      </w:r>
      <w:r>
        <w:t xml:space="preserve">anchored placement for the CBM, each on its own merits; the 50-draw budget is marked for</w:t>
      </w:r>
      <w:r>
        <w:t xml:space="preserve"> </w:t>
      </w:r>
      <w:r>
        <w:t xml:space="preserve">a later increase, which mainly tightens the process runs' HDIs.</w:t>
      </w:r>
    </w:p>
    <w:bookmarkEnd w:id="22"/>
    <w:bookmarkEnd w:id="23"/>
    <w:bookmarkStart w:id="27" w:name="Xf006086dcf9192633b661b7540885ee64a61ed6"/>
    <w:p>
      <w:pPr>
        <w:pStyle w:val="Heading2"/>
      </w:pPr>
      <w:r>
        <w:t xml:space="preserve">5 Response timing</w:t>
      </w:r>
    </w:p>
    <w:p>
      <w:pPr>
        <w:pStyle w:val="FirstParagraph"/>
      </w:pPr>
      <w:r>
        <w:drawing>
          <wp:inline>
            <wp:extent cx="4222781" cy="2389386"/>
            <wp:effectExtent b="0" l="0" r="0" t="0"/>
            <wp:docPr descr="Attentive brake onsets relative to the anchor" title="" id="25" name="Picture"/>
            <a:graphic>
              <a:graphicData uri="http://schemas.openxmlformats.org/drawingml/2006/picture">
                <pic:pic>
                  <pic:nvPicPr>
                    <pic:cNvPr descr="causation_figures/fig_tim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278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Attentive onsets: active inference median 1.25 s after the anchor (IQR 0.50–1.75 s),</w:t>
      </w:r>
      <w:r>
        <w:t xml:space="preserve"> </w:t>
      </w:r>
      <w:r>
        <w:t xml:space="preserve">CBM fixed at 0.50 s. Ten of 100 seeds respond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anchor — all within 0.45 s of</w:t>
      </w:r>
      <w:r>
        <w:t xml:space="preserve"> </w:t>
      </w:r>
      <w:r>
        <w:t xml:space="preserve">it, all after the lead's braking onset, concentrated at short initial headways — so the</w:t>
      </w:r>
      <w:r>
        <w:t xml:space="preserve"> </w:t>
      </w:r>
      <w:r>
        <w:t xml:space="preserve">active-inference model treats the anchor as nothing special, responding to sub-threshold</w:t>
      </w:r>
      <w:r>
        <w:t xml:space="preserve"> </w:t>
      </w:r>
      <w:r>
        <w:t xml:space="preserve">looming when the gap is short.</w:t>
      </w:r>
    </w:p>
    <w:p>
      <w:pPr>
        <w:pStyle w:val="BodyText"/>
      </w:pPr>
      <w:r>
        <w:rPr>
          <w:b/>
          <w:bCs/>
        </w:rPr>
        <w:t xml:space="preserve">The arbiter verdict (2026-08-25).</w:t>
      </w:r>
      <w:r>
        <w:t xml:space="preserve"> </w:t>
      </w:r>
      <w:r>
        <w:t xml:space="preserve">The response-timing claim was initially bracketed</w:t>
      </w:r>
      <w:r>
        <w:t xml:space="preserve"> </w:t>
      </w:r>
      <w:r>
        <w:t xml:space="preserve">by the accumulator's starting convention: zero start (the paper's) versus a "stationary"</w:t>
      </w:r>
      <w:r>
        <w:t xml:space="preserve"> </w:t>
      </w:r>
      <w:r>
        <w:t xml:space="preserve">half-threshold start representing a driver arriving mid-cycle from long steady following;</w:t>
      </w:r>
      <w:r>
        <w:t xml:space="preserve"> </w:t>
      </w:r>
      <w:r>
        <w:t xml:space="preserve">crash probability 0.023 versus 0.004. The tier-2 arbiter run — the full closed-loop model</w:t>
      </w:r>
      <w:r>
        <w:t xml:space="preserve"> </w:t>
      </w:r>
      <w:r>
        <w:t xml:space="preserve">on 23 seeds spanning 1.3–35.5 m/s, four repeats each, lead profiles replayed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replication/causation/tier2/arbiter_comparison.csv</w:t>
      </w:r>
      <w:r>
        <w:t xml:space="preserve">) — settles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 (attentive onsets, n = 23 seeds)</w:t>
            </w:r>
          </w:p>
        </w:tc>
        <w:tc>
          <w:tcPr/>
          <w:p>
            <w:pPr>
              <w:pStyle w:val="Compact"/>
            </w:pPr>
            <w:r>
              <w:t xml:space="preserve">median difference</w:t>
            </w:r>
          </w:p>
        </w:tc>
        <w:tc>
          <w:tcPr/>
          <w:p>
            <w:pPr>
              <w:pStyle w:val="Compact"/>
            </w:pPr>
            <w:r>
              <w:t xml:space="preserve">median |difference|</w:t>
            </w:r>
          </w:p>
        </w:tc>
        <w:tc>
          <w:tcPr/>
          <w:p>
            <w:pPr>
              <w:pStyle w:val="Compact"/>
            </w:pPr>
            <w:r>
              <w:t xml:space="preserve">closer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closed loop − tier-1 zero start</w:t>
            </w:r>
          </w:p>
        </w:tc>
        <w:tc>
          <w:tcPr/>
          <w:p>
            <w:pPr>
              <w:pStyle w:val="Compact"/>
            </w:pPr>
            <w:r>
              <w:t xml:space="preserve">+0.30 s</w:t>
            </w:r>
          </w:p>
        </w:tc>
        <w:tc>
          <w:tcPr/>
          <w:p>
            <w:pPr>
              <w:pStyle w:val="Compact"/>
            </w:pPr>
            <w:r>
              <w:t xml:space="preserve">0.55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19/23 seeds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closed loop − tier-1 stationary start</w:t>
            </w:r>
          </w:p>
        </w:tc>
        <w:tc>
          <w:tcPr/>
          <w:p>
            <w:pPr>
              <w:pStyle w:val="Compact"/>
            </w:pPr>
            <w:r>
              <w:t xml:space="preserve">+1.00 s</w:t>
            </w:r>
          </w:p>
        </w:tc>
        <w:tc>
          <w:tcPr/>
          <w:p>
            <w:pPr>
              <w:pStyle w:val="Compact"/>
            </w:pPr>
            <w:r>
              <w:t xml:space="preserve">1.05 s</w:t>
            </w:r>
          </w:p>
        </w:tc>
        <w:tc>
          <w:tcPr/>
          <w:p>
            <w:pPr>
              <w:pStyle w:val="Compact"/>
            </w:pPr>
            <w:r>
              <w:t xml:space="preserve">4/23 seeds</w:t>
            </w:r>
          </w:p>
        </w:tc>
      </w:tr>
    </w:tbl>
    <w:p>
      <w:pPr>
        <w:pStyle w:val="BodyText"/>
      </w:pPr>
      <w:r>
        <w:t xml:space="preserve">The closed loop behaves like the zero start — if anything it responds slightly</w:t>
      </w:r>
      <w:r>
        <w:t xml:space="preserve"> </w:t>
      </w:r>
      <w:r>
        <w:rPr>
          <w:i/>
          <w:iCs/>
        </w:rPr>
        <w:t xml:space="preserve">later</w:t>
      </w:r>
      <w:r>
        <w:t xml:space="preserve"> </w:t>
      </w:r>
      <w:r>
        <w:t xml:space="preserve">than the zero-start surrogate, so the stationary correction points the wrong way. The</w:t>
      </w:r>
      <w:r>
        <w:t xml:space="preserve"> </w:t>
      </w:r>
      <w:r>
        <w:t xml:space="preserve">scope of the verdict should be stated precisely: it validates the zero start</w:t>
      </w:r>
      <w:r>
        <w:t xml:space="preserve"> </w:t>
      </w:r>
      <w:r>
        <w:rPr>
          <w:i/>
          <w:iCs/>
        </w:rPr>
        <w:t xml:space="preserve">for this</w:t>
      </w:r>
      <w:r>
        <w:rPr>
          <w:i/>
          <w:iCs/>
        </w:rPr>
        <w:t xml:space="preserve"> </w:t>
      </w:r>
      <w:r>
        <w:rPr>
          <w:i/>
          <w:iCs/>
        </w:rPr>
        <w:t xml:space="preserve">study's design</w:t>
      </w:r>
      <w:r>
        <w:t xml:space="preserve">, in which simulation windows open a few seconds before the conflict at</w:t>
      </w:r>
      <w:r>
        <w:t xml:space="preserve"> </w:t>
      </w:r>
      <w:r>
        <w:t xml:space="preserve">mostly comfortable headways, so the closed loop's benign drift accumulates little before</w:t>
      </w:r>
      <w:r>
        <w:t xml:space="preserve"> </w:t>
      </w:r>
      <w:r>
        <w:t xml:space="preserve">the event. What a driver carries after minutes of continuous short-gap following is a</w:t>
      </w:r>
      <w:r>
        <w:t xml:space="preserve"> </w:t>
      </w:r>
      <w:r>
        <w:t xml:space="preserve">question neither tier answers, because both open their windows near the conflict; within</w:t>
      </w:r>
      <w:r>
        <w:t xml:space="preserve"> </w:t>
      </w:r>
      <w:r>
        <w:t xml:space="preserve">this design it is a non-issue by construction. Consequently the zero-start results are</w:t>
      </w:r>
      <w:r>
        <w:t xml:space="preserve"> </w:t>
      </w:r>
      <w:r>
        <w:t xml:space="preserve">the study's results, and the conclusion stands:</w:t>
      </w:r>
      <w:r>
        <w:t xml:space="preserve"> </w:t>
      </w:r>
      <w:r>
        <w:rPr>
          <w:b/>
          <w:bCs/>
        </w:rPr>
        <w:t xml:space="preserve">the active-inference response is slower</w:t>
      </w:r>
      <w:r>
        <w:rPr>
          <w:b/>
          <w:bCs/>
        </w:rPr>
        <w:t xml:space="preserve"> </w:t>
      </w:r>
      <w:r>
        <w:rPr>
          <w:b/>
          <w:bCs/>
        </w:rPr>
        <w:t xml:space="preserve">and more variable than the CBM's fixed rule</w:t>
      </w:r>
      <w:r>
        <w:t xml:space="preserve"> </w:t>
      </w:r>
      <w:r>
        <w:t xml:space="preserve">— confirmed, not contradicted, by the</w:t>
      </w:r>
      <w:r>
        <w:t xml:space="preserve"> </w:t>
      </w:r>
      <w:r>
        <w:t xml:space="preserve">closed loop.</w:t>
      </w:r>
    </w:p>
    <w:p>
      <w:pPr>
        <w:pStyle w:val="BodyText"/>
      </w:pPr>
      <w:r>
        <w:t xml:space="preserve">A deliberate non-action: the +0.30 s median offset between the closed loop and the</w:t>
      </w:r>
      <w:r>
        <w:t xml:space="preserve"> </w:t>
      </w:r>
      <w:r>
        <w:t xml:space="preserve">surrogate could be folded into the surrogate as a calibration correction. We do not do</w:t>
      </w:r>
      <w:r>
        <w:t xml:space="preserve"> </w:t>
      </w:r>
      <w:r>
        <w:t xml:space="preserve">this. Twenty-three seeds are a thin base to fit on, the offset is well inside the</w:t>
      </w:r>
      <w:r>
        <w:t xml:space="preserve"> </w:t>
      </w:r>
      <w:r>
        <w:t xml:space="preserve">response-time dispersion the study is about, and an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surrogate landing within</w:t>
      </w:r>
      <w:r>
        <w:t xml:space="preserve"> </w:t>
      </w:r>
      <w:r>
        <w:t xml:space="preserve">0.55 s median absolute difference is a stronger validation statement than a tuned one</w:t>
      </w:r>
      <w:r>
        <w:t xml:space="preserve"> </w:t>
      </w:r>
      <w:r>
        <w:t xml:space="preserve">landing on zero [Opinion].</w:t>
      </w:r>
    </w:p>
    <w:bookmarkEnd w:id="27"/>
    <w:bookmarkStart w:id="28" w:name="Xaa514859afddf12d4f4f0f080c313a63b1390dc"/>
    <w:p>
      <w:pPr>
        <w:pStyle w:val="Heading2"/>
      </w:pPr>
      <w:r>
        <w:t xml:space="preserve">6 The closed loop is not the CBM with extra steps: the glance-gate finding</w:t>
      </w:r>
    </w:p>
    <w:p>
      <w:pPr>
        <w:pStyle w:val="FirstParagraph"/>
      </w:pPr>
      <w:r>
        <w:t xml:space="preserve">The tier-2 adapter (plan §11.4) runs the authors' full closed-loop model on QUADRIS</w:t>
      </w:r>
      <w:r>
        <w:t xml:space="preserve"> </w:t>
      </w:r>
      <w:r>
        <w:t xml:space="preserve">seeds with the lead replaced by a replay of the seed's speed profile, and can force</w:t>
      </w:r>
      <w:r>
        <w:t xml:space="preserve"> </w:t>
      </w:r>
      <w:r>
        <w:t xml:space="preserve">off-road glances through the code's own observation gate (</w:t>
      </w:r>
      <w:r>
        <w:rPr>
          <w:rStyle w:val="VerbatimChar"/>
        </w:rPr>
        <w:t xml:space="preserve">I_factor</w:t>
      </w:r>
      <w:r>
        <w:t xml:space="preserve">, the mechanism of</w:t>
      </w:r>
      <w:r>
        <w:t xml:space="preserve"> </w:t>
      </w:r>
      <w:r>
        <w:t xml:space="preserve">the Engström et al. 2024 visual time-sharing model).</w:t>
      </w:r>
    </w:p>
    <w:p>
      <w:pPr>
        <w:pStyle w:val="BodyText"/>
      </w:pPr>
      <w:r>
        <w:rPr>
          <w:b/>
          <w:bCs/>
        </w:rPr>
        <w:t xml:space="preserve">Forcing a 1.0–3.0 s off-road glance during the conflict did not delay the response.</w:t>
      </w:r>
      <w:r>
        <w:t xml:space="preserve"> </w:t>
      </w:r>
      <w:r>
        <w:t xml:space="preserve">On the test seed the driver braked at 2.4–2.6 s — inside the glance — both under the</w:t>
      </w:r>
      <w:r>
        <w:t xml:space="preserve"> </w:t>
      </w:r>
      <w:r>
        <w:t xml:space="preserve">shipped observation-noise factor (3) and under an effectively total gate (factor 1000).</w:t>
      </w:r>
      <w:r>
        <w:t xml:space="preserve"> </w:t>
      </w:r>
      <w:r>
        <w:t xml:space="preserve">The reason is architectural: the lead's braking had been registered before the glance</w:t>
      </w:r>
      <w:r>
        <w:t xml:space="preserve"> </w:t>
      </w:r>
      <w:r>
        <w:t xml:space="preserve">began, and during the glance the belief cloud coasts forward on its own norm-shaped</w:t>
      </w:r>
      <w:r>
        <w:t xml:space="preserve"> </w:t>
      </w:r>
      <w:r>
        <w:t xml:space="preserve">prediction, so the evidence accumulator keeps filling from</w:t>
      </w:r>
      <w:r>
        <w:t xml:space="preserve"> </w:t>
      </w:r>
      <w:r>
        <w:rPr>
          <w:i/>
          <w:iCs/>
        </w:rPr>
        <w:t xml:space="preserve">remembered and extrapolated</w:t>
      </w:r>
      <w:r>
        <w:t xml:space="preserve"> </w:t>
      </w:r>
      <w:r>
        <w:t xml:space="preserve">evidence. Looking away blocks new observations; it does not stop inference.</w:t>
      </w:r>
    </w:p>
    <w:p>
      <w:pPr>
        <w:pStyle w:val="BodyText"/>
      </w:pPr>
      <w:r>
        <w:t xml:space="preserve">The CBM assumes the opposite: no information accumulates while the eyes are away, and no</w:t>
      </w:r>
      <w:r>
        <w:t xml:space="preserve"> </w:t>
      </w:r>
      <w:r>
        <w:t xml:space="preserve">response can begin until 0.5 s after they return [B24]. The two architectures therefore</w:t>
      </w:r>
      <w:r>
        <w:t xml:space="preserve"> </w:t>
      </w:r>
      <w:r>
        <w:t xml:space="preserve">make</w:t>
      </w:r>
      <w:r>
        <w:t xml:space="preserve"> </w:t>
      </w:r>
      <w:r>
        <w:rPr>
          <w:b/>
          <w:bCs/>
        </w:rPr>
        <w:t xml:space="preserve">divergent, testable predictions</w:t>
      </w:r>
      <w:r>
        <w:t xml:space="preserve"> </w:t>
      </w:r>
      <w:r>
        <w:t xml:space="preserve">that depend on glance timing:</w:t>
      </w:r>
    </w:p>
    <w:p>
      <w:pPr>
        <w:pStyle w:val="Compact"/>
        <w:numPr>
          <w:ilvl w:val="0"/>
          <w:numId w:val="1005"/>
        </w:numPr>
      </w:pPr>
      <w:r>
        <w:t xml:space="preserve">glance covering the conflict onset → both models delay the response until (or beyond)</w:t>
      </w:r>
      <w:r>
        <w:t xml:space="preserve"> </w:t>
      </w:r>
      <w:r>
        <w:t xml:space="preserve">eyes-return; they roughly agree;</w:t>
      </w:r>
    </w:p>
    <w:p>
      <w:pPr>
        <w:pStyle w:val="Compact"/>
        <w:numPr>
          <w:ilvl w:val="0"/>
          <w:numId w:val="1005"/>
        </w:numPr>
      </w:pPr>
      <w:r>
        <w:t xml:space="preserve">glance beginning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onset has been registered → the CBM still waits for</w:t>
      </w:r>
      <w:r>
        <w:t xml:space="preserve"> </w:t>
      </w:r>
      <w:r>
        <w:t xml:space="preserve">eyes-return + 0.5 s, while the active-inference driver responds mid-glance on</w:t>
      </w:r>
      <w:r>
        <w:t xml:space="preserve"> </w:t>
      </w:r>
      <w:r>
        <w:t xml:space="preserve">extrapolated evidence.</w:t>
      </w:r>
    </w:p>
    <w:p>
      <w:pPr>
        <w:pStyle w:val="FirstParagraph"/>
      </w:pPr>
      <w:r>
        <w:t xml:space="preserve">Naturalistic glance-conditional response data could separate these — drivers who brake</w:t>
      </w:r>
      <w:r>
        <w:t xml:space="preserve"> </w:t>
      </w:r>
      <w:r>
        <w:t xml:space="preserve">while still looking away (or within less than 0.5 s of looking back) in late-glance</w:t>
      </w:r>
      <w:r>
        <w:t xml:space="preserve"> </w:t>
      </w:r>
      <w:r>
        <w:t xml:space="preserve">conflicts would favor the active-inference account. To our knowledge the existing</w:t>
      </w:r>
      <w:r>
        <w:t xml:space="preserve"> </w:t>
      </w:r>
      <w:r>
        <w:t xml:space="preserve">glance-response literature conditions on eyes-off at conflict onset and does not isolate</w:t>
      </w:r>
      <w:r>
        <w:t xml:space="preserve"> </w:t>
      </w:r>
      <w:r>
        <w:t xml:space="preserve">the late-glance case [Opinion]. The tier-1 pipeline mirrors the distinction explicitly:</w:t>
      </w:r>
      <w:r>
        <w:t xml:space="preserve"> </w:t>
      </w:r>
      <w:r>
        <w:t xml:space="preserve">its evidence gate at weight 0 reproduces the CBM assumption, the Svärd et al. partial</w:t>
      </w:r>
      <w:r>
        <w:t xml:space="preserve"> </w:t>
      </w:r>
      <w:r>
        <w:t xml:space="preserve">looming weight is an intermediate, and the tier-2 precision gate is the full</w:t>
      </w:r>
      <w:r>
        <w:t xml:space="preserve"> </w:t>
      </w:r>
      <w:r>
        <w:t xml:space="preserve">active-inference behavior.</w:t>
      </w:r>
    </w:p>
    <w:bookmarkEnd w:id="28"/>
    <w:bookmarkStart w:id="29" w:name="X847d61f9c7a16474db9cfde0ec49847e7e696b4"/>
    <w:p>
      <w:pPr>
        <w:pStyle w:val="Heading2"/>
      </w:pPr>
      <w:r>
        <w:t xml:space="preserve">7 The pre-selection (exposure) critique, quantified</w:t>
      </w:r>
    </w:p>
    <w:p>
      <w:pPr>
        <w:pStyle w:val="FirstParagraph"/>
      </w:pPr>
      <w:r>
        <w:t xml:space="preserve">Applying causation mechanisms to crash-conditioned seeds answers "what does this driver</w:t>
      </w:r>
      <w:r>
        <w:t xml:space="preserve"> </w:t>
      </w:r>
      <w:r>
        <w:t xml:space="preserve">do in situations that crashed for the generator's driver", not "what crashes does this</w:t>
      </w:r>
      <w:r>
        <w:t xml:space="preserve"> </w:t>
      </w:r>
      <w:r>
        <w:t xml:space="preserve">driver produce in traffic". Three numbers from this study's own runs bound how far the</w:t>
      </w:r>
      <w:r>
        <w:t xml:space="preserve"> </w:t>
      </w:r>
      <w:r>
        <w:t xml:space="preserve">two questions are apart: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Support loss</w:t>
      </w:r>
      <w:r>
        <w:t xml:space="preserve">: 13 of 100 seeds never crash under the CBM control at any glance or</w:t>
      </w:r>
      <w:r>
        <w:t xml:space="preserve"> </w:t>
      </w:r>
      <w:r>
        <w:t xml:space="preserve">deceleration draw; they drop out of any exposure reweighting entirely.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Effective sample size</w:t>
      </w:r>
      <w:r>
        <w:t xml:space="preserve">: reweighting the remaining 87 seeds to exposure (dividing</w:t>
      </w:r>
      <w:r>
        <w:t xml:space="preserve"> </w:t>
      </w:r>
      <w:r>
        <w:t xml:space="preserve">each weight by its crash probability) leaves an effective sample size of</w:t>
      </w:r>
      <w:r>
        <w:t xml:space="preserve"> </w:t>
      </w:r>
      <w:r>
        <w:rPr>
          <w:b/>
          <w:bCs/>
        </w:rPr>
        <w:t xml:space="preserve">6.9</w:t>
      </w:r>
      <w:r>
        <w:t xml:space="preserve"> </w:t>
      </w:r>
      <w:r>
        <w:t xml:space="preserve">—</w:t>
      </w:r>
      <w:r>
        <w:t xml:space="preserve"> </w:t>
      </w:r>
      <w:r>
        <w:t xml:space="preserve">three seeds carry the majority of all exposure weight. Exposure-level claims from</w:t>
      </w:r>
      <w:r>
        <w:t xml:space="preserve"> </w:t>
      </w:r>
      <w:r>
        <w:t xml:space="preserve">crash-only seeds would need orders of magnitude more seeds, concentrated exactly in</w:t>
      </w:r>
      <w:r>
        <w:t xml:space="preserve"> </w:t>
      </w:r>
      <w:r>
        <w:t xml:space="preserve">the benign scenarios the crash filter removed.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Directional bias</w:t>
      </w:r>
      <w:r>
        <w:t xml:space="preserve">: the missing scenarios are the long-headway, mild-conflict ones</w:t>
      </w:r>
      <w:r>
        <w:t xml:space="preserve"> </w:t>
      </w:r>
      <w:r>
        <w:t xml:space="preserve">in which crashes occur only through glances or non-response — for a glance-causation</w:t>
      </w:r>
      <w:r>
        <w:t xml:space="preserve"> </w:t>
      </w:r>
      <w:r>
        <w:t xml:space="preserve">study, the worst possible region to lose.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B-versus-C contrast is far more robust to this critique than any absolute</w:t>
      </w:r>
      <w:r>
        <w:rPr>
          <w:b/>
          <w:bCs/>
        </w:rPr>
        <w:t xml:space="preserve"> </w:t>
      </w:r>
      <w:r>
        <w:rPr>
          <w:b/>
          <w:bCs/>
        </w:rPr>
        <w:t xml:space="preserve">number</w:t>
      </w:r>
      <w:r>
        <w:t xml:space="preserve">, because both response models face the identical conditioned ensemble. Absolute</w:t>
      </w:r>
      <w:r>
        <w:t xml:space="preserve"> </w:t>
      </w:r>
      <w:r>
        <w:t xml:space="preserve">crash rates and severity distributions inherit the full bias. The proper fix is</w:t>
      </w:r>
      <w:r>
        <w:t xml:space="preserve"> </w:t>
      </w:r>
      <w:r>
        <w:t xml:space="preserve">upstream: the pre-filter scenario set (or the fitted scenario-generation models) of</w:t>
      </w:r>
      <w:r>
        <w:t xml:space="preserve"> </w:t>
      </w:r>
      <w:r>
        <w:t xml:space="preserve">[W25a], requested from its author; the 82 real SHRP2 near-crashes in the QUADRIS release</w:t>
      </w:r>
      <w:r>
        <w:t xml:space="preserve"> </w:t>
      </w:r>
      <w:r>
        <w:t xml:space="preserve">are an intermediate exposure extension available now.</w:t>
      </w:r>
    </w:p>
    <w:bookmarkEnd w:id="29"/>
    <w:bookmarkStart w:id="30" w:name="X335105b0a86bf2fe7731d42aa4837b519891646"/>
    <w:p>
      <w:pPr>
        <w:pStyle w:val="Heading2"/>
      </w:pPr>
      <w:r>
        <w:t xml:space="preserve">8 Conclusions</w:t>
      </w:r>
    </w:p>
    <w:p>
      <w:pPr>
        <w:pStyle w:val="Compact"/>
        <w:numPr>
          <w:ilvl w:val="0"/>
          <w:numId w:val="1007"/>
        </w:numPr>
      </w:pPr>
      <w:r>
        <w:t xml:space="preserve">The pipeline now runs the complete design: five switchable causation components, two</w:t>
      </w:r>
      <w:r>
        <w:t xml:space="preserve"> </w:t>
      </w:r>
      <w:r>
        <w:t xml:space="preserve">response processes, digitized real input distributions, a defensible counterfactual,</w:t>
      </w:r>
      <w:r>
        <w:t xml:space="preserve"> </w:t>
      </w:r>
      <w:r>
        <w:t xml:space="preserve">process-placed glances, and the full [W26] readout with the assumption-free severity</w:t>
      </w:r>
      <w:r>
        <w:t xml:space="preserve"> </w:t>
      </w:r>
      <w:r>
        <w:t xml:space="preserve">metric.</w:t>
      </w:r>
    </w:p>
    <w:p>
      <w:pPr>
        <w:pStyle w:val="Compact"/>
        <w:numPr>
          <w:ilvl w:val="0"/>
          <w:numId w:val="1007"/>
        </w:numPr>
      </w:pPr>
      <w:r>
        <w:t xml:space="preserve">After the methodological corrections,</w:t>
      </w:r>
      <w:r>
        <w:t xml:space="preserve"> </w:t>
      </w:r>
      <w:r>
        <w:rPr>
          <w:b/>
          <w:bCs/>
        </w:rPr>
        <w:t xml:space="preserve">the active-inference response is no further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QUADRIS reference than the CBM control is</w:t>
      </w:r>
      <w:r>
        <w:t xml:space="preserve"> </w:t>
      </w:r>
      <w:r>
        <w:t xml:space="preserve">(P_inj θ ≈ 0.4–0.5 for both</w:t>
      </w:r>
      <w:r>
        <w:t xml:space="preserve"> </w:t>
      </w:r>
      <w:r>
        <w:t xml:space="preserve">best configurations), and the two miss differently: active inference over-produces</w:t>
      </w:r>
      <w:r>
        <w:t xml:space="preserve"> </w:t>
      </w:r>
      <w:r>
        <w:t xml:space="preserve">the mildest crashes; the CBM over-produces moderate ones and cannot reproduce the</w:t>
      </w:r>
      <w:r>
        <w:t xml:space="preserve"> </w:t>
      </w:r>
      <w:r>
        <w:t xml:space="preserve">reference's non-braking character, which the active-inference conditions now match.</w:t>
      </w:r>
    </w:p>
    <w:p>
      <w:pPr>
        <w:pStyle w:val="Compact"/>
        <w:numPr>
          <w:ilvl w:val="0"/>
          <w:numId w:val="1007"/>
        </w:numPr>
      </w:pPr>
      <w:r>
        <w:t xml:space="preserve">The active-inference response-timing claim is</w:t>
      </w:r>
      <w:r>
        <w:t xml:space="preserve"> </w:t>
      </w:r>
      <w:r>
        <w:rPr>
          <w:b/>
          <w:bCs/>
        </w:rPr>
        <w:t xml:space="preserve">settled by the tier-2 arbiter</w:t>
      </w:r>
      <w:r>
        <w:t xml:space="preserve">: the</w:t>
      </w:r>
      <w:r>
        <w:t xml:space="preserve"> </w:t>
      </w:r>
      <w:r>
        <w:t xml:space="preserve">closed loop matches the zero-start surrogate (median difference +0.30 s, 19/23 seeds</w:t>
      </w:r>
      <w:r>
        <w:t xml:space="preserve"> </w:t>
      </w:r>
      <w:r>
        <w:t xml:space="preserve">closer) and rejects the stationary start, so the active-inference response is slower</w:t>
      </w:r>
      <w:r>
        <w:t xml:space="preserve"> </w:t>
      </w:r>
      <w:r>
        <w:t xml:space="preserve">and more variable than the CBM's rule, with the tier-1 surrogate validated untuned to</w:t>
      </w:r>
      <w:r>
        <w:t xml:space="preserve"> </w:t>
      </w:r>
      <w:r>
        <w:t xml:space="preserve">a median absolute onset difference of 0.55 s across 1.3–35.5 m/s.</w:t>
      </w:r>
    </w:p>
    <w:p>
      <w:pPr>
        <w:pStyle w:val="Compact"/>
        <w:numPr>
          <w:ilvl w:val="0"/>
          <w:numId w:val="1007"/>
        </w:numPr>
      </w:pPr>
      <w:r>
        <w:t xml:space="preserve">The architectural finding stands: evidence gating versus inference gating during</w:t>
      </w:r>
      <w:r>
        <w:t xml:space="preserve"> </w:t>
      </w:r>
      <w:r>
        <w:t xml:space="preserve">off-road glances is a real, behaviorally testable difference between the CBM and</w:t>
      </w:r>
      <w:r>
        <w:t xml:space="preserve"> </w:t>
      </w:r>
      <w:r>
        <w:t xml:space="preserve">active inference (section 6).</w:t>
      </w:r>
    </w:p>
    <w:p>
      <w:pPr>
        <w:pStyle w:val="Compact"/>
        <w:numPr>
          <w:ilvl w:val="0"/>
          <w:numId w:val="1007"/>
        </w:numPr>
      </w:pPr>
      <w:r>
        <w:t xml:space="preserve">Equivalence in the strict ROPE sense is not reached by any configuration — as it was</w:t>
      </w:r>
      <w:r>
        <w:t xml:space="preserve"> </w:t>
      </w:r>
      <w:r>
        <w:t xml:space="preserve">not by the SCM in [W26] — and section 7's numbers show that exposure-level claims</w:t>
      </w:r>
      <w:r>
        <w:t xml:space="preserve"> </w:t>
      </w:r>
      <w:r>
        <w:t xml:space="preserve">are outside what crash-conditioned seeds can support at any n.</w:t>
      </w:r>
    </w:p>
    <w:bookmarkEnd w:id="30"/>
    <w:bookmarkStart w:id="31" w:name="Xdecb44f94e928e8b93606661733f5518de26da0"/>
    <w:p>
      <w:pPr>
        <w:pStyle w:val="Heading2"/>
      </w:pPr>
      <w:r>
        <w:t xml:space="preserve">9 Limitations and next steps</w:t>
      </w:r>
    </w:p>
    <w:p>
      <w:pPr>
        <w:pStyle w:val="Compact"/>
        <w:numPr>
          <w:ilvl w:val="0"/>
          <w:numId w:val="1008"/>
        </w:numPr>
      </w:pPr>
      <w:r>
        <w:t xml:space="preserve">Glance and deceleration distributions are digitized from published figures; the actual</w:t>
      </w:r>
      <w:r>
        <w:t xml:space="preserve"> </w:t>
      </w:r>
      <w:r>
        <w:t xml:space="preserve">SHRP2 bins would remove the residual digitization error and the truncated glance tail.</w:t>
      </w:r>
      <w:r>
        <w:t xml:space="preserve"> </w:t>
      </w:r>
      <w:r>
        <w:t xml:space="preserve">The abnormal-acceleration onset-time distribution of [W25a] is unpublished; the</w:t>
      </w:r>
      <w:r>
        <w:t xml:space="preserve"> </w:t>
      </w:r>
      <w:r>
        <w:t xml:space="preserve">component applies its acceleration from the lead's braking onset instead.</w:t>
      </w:r>
    </w:p>
    <w:p>
      <w:pPr>
        <w:pStyle w:val="Compact"/>
        <w:numPr>
          <w:ilvl w:val="0"/>
          <w:numId w:val="1008"/>
        </w:numPr>
      </w:pPr>
      <w:r>
        <w:t xml:space="preserve">50 process draws per seed (marked for increase); the QUADRIS reference is itself</w:t>
      </w:r>
      <w:r>
        <w:t xml:space="preserve"> </w:t>
      </w:r>
      <w:r>
        <w:t xml:space="preserve">model-generated; n = 100 seeds, extendable to the full 5 000 at tier-1 cost.</w:t>
      </w:r>
    </w:p>
    <w:p>
      <w:pPr>
        <w:pStyle w:val="Compact"/>
        <w:numPr>
          <w:ilvl w:val="0"/>
          <w:numId w:val="1008"/>
        </w:numPr>
      </w:pPr>
      <w:r>
        <w:t xml:space="preserve">The accumulator-initialization question is closed for this design (section 5); what a</w:t>
      </w:r>
      <w:r>
        <w:t xml:space="preserve"> </w:t>
      </w:r>
      <w:r>
        <w:t xml:space="preserve">driver carries into a conflict after minutes of continuous short-gap following remains</w:t>
      </w:r>
      <w:r>
        <w:t xml:space="preserve"> </w:t>
      </w:r>
      <w:r>
        <w:t xml:space="preserve">outside both tiers' windows, and would matter for study designs with long run-ins.</w:t>
      </w:r>
    </w:p>
    <w:p>
      <w:pPr>
        <w:pStyle w:val="Compact"/>
        <w:numPr>
          <w:ilvl w:val="0"/>
          <w:numId w:val="1008"/>
        </w:numPr>
      </w:pPr>
      <w:r>
        <w:t xml:space="preserve">The stopped/creeping-follower seeds (20 of the 100-seed sample) run under the</w:t>
      </w:r>
      <w:r>
        <w:t xml:space="preserve"> </w:t>
      </w:r>
      <w:r>
        <w:t xml:space="preserve">desired-speed convention decided 2026-08-25 (the speed the original follower later</w:t>
      </w:r>
      <w:r>
        <w:t xml:space="preserve"> </w:t>
      </w:r>
      <w:r>
        <w:t xml:space="preserve">reached); their tier-2 batch was launched with this revision.</w:t>
      </w:r>
    </w:p>
    <w:p>
      <w:pPr>
        <w:pStyle w:val="FirstParagraph"/>
      </w:pPr>
      <w:r>
        <w:t xml:space="preserve">Regeneration: the tagged commands are in</w:t>
      </w:r>
      <w:r>
        <w:t xml:space="preserve"> </w:t>
      </w:r>
      <w:r>
        <w:rPr>
          <w:rStyle w:val="VerbatimChar"/>
        </w:rPr>
        <w:t xml:space="preserve">replication/causation/out/log_nb*.txt</w:t>
      </w:r>
      <w:r>
        <w:t xml:space="preserve">; figures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replication/causation/make_results_figures.py --tag nbp</w:t>
      </w:r>
      <w:r>
        <w:t xml:space="preserve">; this document by</w:t>
      </w:r>
      <w:r>
        <w:t xml:space="preserve"> </w:t>
      </w:r>
      <w:r>
        <w:rPr>
          <w:rStyle w:val="VerbatimChar"/>
        </w:rPr>
        <w:t xml:space="preserve">docs/build_pdf.py docs/crash_causation_results.md</w:t>
      </w:r>
      <w:r>
        <w:t xml:space="preserve">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2026-08-24T22:00:14Z</dcterms:created>
  <dcterms:modified xsi:type="dcterms:W3CDTF">2026-08-24T22:00:14Z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