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review-gate-r.2-the-decisions"/>
    <w:p>
      <w:pPr>
        <w:pStyle w:val="Heading1"/>
      </w:pPr>
      <w:r>
        <w:t xml:space="preserve">Review gate R.2: the decisions</w:t>
      </w:r>
    </w:p>
    <w:p>
      <w:pPr>
        <w:pStyle w:val="FirstParagraph"/>
      </w:pPr>
      <w:r>
        <w:rPr>
          <w:i/>
          <w:iCs/>
        </w:rPr>
        <w:t xml:space="preserve">2026-08-29, run at tier 1 in an overnight batch session, per the card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docs/czb_work_orders.md</w:t>
      </w:r>
      <w:r>
        <w:rPr>
          <w:i/>
          <w:iCs/>
        </w:rPr>
        <w:t xml:space="preserve">. The gate’s five questions are answered in the card’s</w:t>
      </w:r>
      <w:r>
        <w:rPr>
          <w:i/>
          <w:iCs/>
        </w:rPr>
        <w:t xml:space="preserve"> </w:t>
      </w:r>
      <w:r>
        <w:rPr>
          <w:i/>
          <w:iCs/>
        </w:rPr>
        <w:t xml:space="preserve">priority order. Everything quantitative below comes from committed scripts with</w:t>
      </w:r>
      <w:r>
        <w:rPr>
          <w:i/>
          <w:iCs/>
        </w:rPr>
        <w:t xml:space="preserve"> </w:t>
      </w:r>
      <w:r>
        <w:rPr>
          <w:i/>
          <w:iCs/>
        </w:rPr>
        <w:t xml:space="preserve">tracked outputs; the two decisive analyses were pre-registered (models, folds, and</w:t>
      </w:r>
      <w:r>
        <w:rPr>
          <w:i/>
          <w:iCs/>
        </w:rPr>
        <w:t xml:space="preserve"> </w:t>
      </w:r>
      <w:r>
        <w:rPr>
          <w:i/>
          <w:iCs/>
        </w:rPr>
        <w:t xml:space="preserve">decision rules committed before the runs — commit e9203c6). Where a decision is a</w:t>
      </w:r>
      <w:r>
        <w:rPr>
          <w:i/>
          <w:iCs/>
        </w:rPr>
        <w:t xml:space="preserve"> </w:t>
      </w:r>
      <w:r>
        <w:rPr>
          <w:i/>
          <w:iCs/>
        </w:rPr>
        <w:t xml:space="preserve">scope call that belongs to Jonas, it is routed to him as a query rather than taken</w:t>
      </w:r>
      <w:r>
        <w:rPr>
          <w:i/>
          <w:iCs/>
        </w:rPr>
        <w:t xml:space="preserve"> </w:t>
      </w:r>
      <w:r>
        <w:rPr>
          <w:i/>
          <w:iCs/>
        </w:rPr>
        <w:t xml:space="preserve">here.</w:t>
      </w:r>
    </w:p>
    <w:bookmarkStart w:id="9" w:name="X5028b081a2f68d9a791bddf766e3b65ed9a79a4"/>
    <w:p>
      <w:pPr>
        <w:pStyle w:val="Heading2"/>
      </w:pPr>
      <w:r>
        <w:t xml:space="preserve">1 Is the preference field the right scalar? No — ruled against, pre-registered</w:t>
      </w:r>
    </w:p>
    <w:p>
      <w:pPr>
        <w:pStyle w:val="FirstParagraph"/>
      </w:pPr>
      <w:r>
        <w:t xml:space="preserve">The comparison the card put first (</w:t>
      </w:r>
      <w:r>
        <w:rPr>
          <w:rStyle w:val="VerbatimChar"/>
        </w:rPr>
        <w:t xml:space="preserve">replication/czb/cutin2_field_vs_gap.py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out/cutin2_field_vs_gap.md</w:t>
      </w:r>
      <w:r>
        <w:t xml:space="preserve">): the existing field, computed on the second cut-in</w:t>
      </w:r>
      <w:r>
        <w:t xml:space="preserve"> </w:t>
      </w:r>
      <w:r>
        <w:t xml:space="preserve">study’s traces by the exact study-1 code path (k = 12, continuous forms, shown-window</w:t>
      </w:r>
      <w:r>
        <w:t xml:space="preserve"> </w:t>
      </w:r>
      <w:r>
        <w:t xml:space="preserve">covariates), against a gap threshold of identical model form (lapse + probit, three</w:t>
      </w:r>
      <w:r>
        <w:t xml:space="preserve"> </w:t>
      </w:r>
      <w:r>
        <w:t xml:space="preserve">parameters each), on identical leave-one-starting-TTC-out folds, decision rule stated</w:t>
      </w:r>
      <w:r>
        <w:t xml:space="preserve"> </w:t>
      </w:r>
      <w:r>
        <w:t xml:space="preserve">before the run.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(best scale)</w:t>
            </w:r>
          </w:p>
        </w:tc>
        <w:tc>
          <w:tcPr/>
          <w:p>
            <w:pPr>
              <w:pStyle w:val="Compact"/>
            </w:pPr>
            <w:r>
              <w:t xml:space="preserve">held-out wRMSE</w:t>
            </w:r>
          </w:p>
        </w:tc>
        <w:tc>
          <w:tcPr/>
          <w:p>
            <w:pPr>
              <w:pStyle w:val="Compact"/>
            </w:pPr>
            <w:r>
              <w:t xml:space="preserve">Spearman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 (log)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0.1522</w:t>
            </w:r>
          </w:p>
        </w:tc>
        <w:tc>
          <w:tcPr/>
          <w:p>
            <w:pPr>
              <w:pStyle w:val="Compact"/>
            </w:pPr>
            <w:r>
              <w:t xml:space="preserve">+0.841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TTC (log)</w:t>
            </w:r>
          </w:p>
        </w:tc>
        <w:tc>
          <w:tcPr/>
          <w:p>
            <w:pPr>
              <w:pStyle w:val="Compact"/>
            </w:pPr>
            <w:r>
              <w:t xml:space="preserve">0.1679</w:t>
            </w:r>
          </w:p>
        </w:tc>
        <w:tc>
          <w:tcPr/>
          <w:p>
            <w:pPr>
              <w:pStyle w:val="Compact"/>
            </w:pPr>
            <w:r>
              <w:t xml:space="preserve">+0.805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deceleration (log)</w:t>
            </w:r>
          </w:p>
        </w:tc>
        <w:tc>
          <w:tcPr/>
          <w:p>
            <w:pPr>
              <w:pStyle w:val="Compact"/>
            </w:pPr>
            <w:r>
              <w:t xml:space="preserve">0.2888</w:t>
            </w:r>
          </w:p>
        </w:tc>
        <w:tc>
          <w:tcPr/>
          <w:p>
            <w:pPr>
              <w:pStyle w:val="Compact"/>
            </w:pPr>
            <w:r>
              <w:t xml:space="preserve">−0.158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0.3471</w:t>
            </w:r>
          </w:p>
        </w:tc>
        <w:tc>
          <w:tcPr/>
          <w:p>
            <w:pPr>
              <w:pStyle w:val="Compact"/>
            </w:pPr>
            <w:r>
              <w:t xml:space="preserve">−0.424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chance (train mean)</w:t>
            </w:r>
          </w:p>
        </w:tc>
        <w:tc>
          <w:tcPr/>
          <w:p>
            <w:pPr>
              <w:pStyle w:val="Compact"/>
            </w:pPr>
            <w:r>
              <w:t xml:space="preserve">0.3202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sampling-noise floor</w:t>
            </w:r>
          </w:p>
        </w:tc>
        <w:tc>
          <w:tcPr/>
          <w:p>
            <w:pPr>
              <w:pStyle w:val="Compact"/>
            </w:pPr>
            <w:r>
              <w:t xml:space="preserve">0.1176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pre-registered rule fired at dRMSE = +0.195:</w:t>
      </w:r>
      <w:r>
        <w:t xml:space="preserve"> </w:t>
      </w:r>
      <w:r>
        <w:rPr>
          <w:b/>
          <w:bCs/>
        </w:rPr>
        <w:t xml:space="preserve">the field is ruled against on its</w:t>
      </w:r>
      <w:r>
        <w:rPr>
          <w:b/>
          <w:bCs/>
        </w:rPr>
        <w:t xml:space="preserve"> </w:t>
      </w:r>
      <w:r>
        <w:rPr>
          <w:b/>
          <w:bCs/>
        </w:rPr>
        <w:t xml:space="preserve">own scenario</w:t>
      </w:r>
      <w:r>
        <w:t xml:space="preserve"> </w:t>
      </w:r>
      <w:r>
        <w:t xml:space="preserve">— it scores worse than chance on grouped folds while a</w:t>
      </w:r>
      <w:r>
        <w:t xml:space="preserve"> </w:t>
      </w:r>
      <w:r>
        <w:t xml:space="preserve">three-parameter gap threshold approaches the sampling-noise floor. The verdict is</w:t>
      </w:r>
      <w:r>
        <w:t xml:space="preserve"> </w:t>
      </w:r>
      <w:r>
        <w:t xml:space="preserve">robust to excluding the 20 non-modal attention-check participants (+0.202) and to a</w:t>
      </w:r>
      <w:r>
        <w:t xml:space="preserve"> </w:t>
      </w:r>
      <w:r>
        <w:t xml:space="preserve">post-hoc repair of a trace-noise handicap discovered after the registered run (the</w:t>
      </w:r>
      <w:r>
        <w:t xml:space="preserve"> </w:t>
      </w:r>
      <w:r>
        <w:t xml:space="preserve">30 Hz ego-speed dither puts a ~1 000-unit control-effort floor under every field</w:t>
      </w:r>
      <w:r>
        <w:t xml:space="preserve"> </w:t>
      </w:r>
      <w:r>
        <w:t xml:space="preserve">covariate; with the ego speed smoothed the field scores 0.3564 and the verdict is</w:t>
      </w:r>
      <w:r>
        <w:t xml:space="preserve"> </w:t>
      </w:r>
      <w:r>
        <w:t xml:space="preserve">unchanged). Within matched-TTC rows the smoothed field orders only 14 of 24 rows in</w:t>
      </w:r>
      <w:r>
        <w:t xml:space="preserve"> </w:t>
      </w:r>
      <w:r>
        <w:t xml:space="preserve">the observed direction (mean ρ −0.10) where the data order 24 of 24 (gap ρ −0.887) —</w:t>
      </w:r>
      <w:r>
        <w:t xml:space="preserve"> </w:t>
      </w:r>
      <w:r>
        <w:t xml:space="preserve">and the sign derivation below shows that inconsistency is structural, not noise.</w:t>
      </w:r>
    </w:p>
    <w:p>
      <w:pPr>
        <w:pStyle w:val="BodyText"/>
      </w:pPr>
      <w:r>
        <w:t xml:space="preserve">Two consequences, both now in force. No document may describe the field as validated</w:t>
      </w:r>
      <w:r>
        <w:t xml:space="preserve"> </w:t>
      </w:r>
      <w:r>
        <w:t xml:space="preserve">against human data on the longitudinal dimension (blocker B2.Q4’s wording rule,</w:t>
      </w:r>
      <w:r>
        <w:t xml:space="preserve"> </w:t>
      </w:r>
      <w:r>
        <w:t xml:space="preserve">now backed by the analysis it was waiting for). And per the card’s own</w:t>
      </w:r>
      <w:r>
        <w:t xml:space="preserve"> </w:t>
      </w:r>
      <w:r>
        <w:t xml:space="preserve">pre-commitment, the project’s claim is restated around what survives (§4).</w:t>
      </w:r>
    </w:p>
    <w:bookmarkEnd w:id="9"/>
    <w:bookmarkStart w:id="10" w:name="Xc929384d1dec8cae9d0332a139a951f853148c2"/>
    <w:p>
      <w:pPr>
        <w:pStyle w:val="Heading2"/>
      </w:pPr>
      <w:r>
        <w:t xml:space="preserve">2 The C1 inversion: a covariate defect, found, fixed, and reinterpreted</w:t>
      </w:r>
    </w:p>
    <w:p>
      <w:pPr>
        <w:pStyle w:val="FirstParagraph"/>
      </w:pPr>
      <w:r>
        <w:t xml:space="preserve">Blocker B2.Q1 is closed (</w:t>
      </w:r>
      <w:r>
        <w:rPr>
          <w:rStyle w:val="VerbatimChar"/>
        </w:rPr>
        <w:t xml:space="preserve">replication/czb/c1_covariate_defect.py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out/c1_covariate_defect.md</w:t>
      </w:r>
      <w:r>
        <w:t xml:space="preserve">). The inversion was not in the data or the preference</w:t>
      </w:r>
      <w:r>
        <w:t xml:space="preserve"> </w:t>
      </w:r>
      <w:r>
        <w:t xml:space="preserve">function but in the covariate window: the C1 lookup included the manoeuvre-onset</w:t>
      </w:r>
      <w:r>
        <w:t xml:space="preserve"> </w:t>
      </w:r>
      <w:r>
        <w:t xml:space="preserve">frame, where the lane-entry projection — whose lever arm is the longitudinal TTC —</w:t>
      </w:r>
      <w:r>
        <w:t xml:space="preserve"> </w:t>
      </w:r>
      <w:r>
        <w:t xml:space="preserve">turns at most 6 cm of lateral motion into near-full predicted overlap at the largest</w:t>
      </w:r>
      <w:r>
        <w:t xml:space="preserve"> </w:t>
      </w:r>
      <w:r>
        <w:t xml:space="preserve">gap (p_lane 0.000 / 0.318 / 0.997 for gaps 10.5 / 16.0 / 21.5 m); and the running</w:t>
      </w:r>
      <w:r>
        <w:t xml:space="preserve"> </w:t>
      </w:r>
      <w:r>
        <w:t xml:space="preserve">maxima accumulated from the trace start, ~5–16 s before the shown clip, letting a</w:t>
      </w:r>
      <w:r>
        <w:t xml:space="preserve"> </w:t>
      </w:r>
      <w:r>
        <w:t xml:space="preserve">startup blip floor every 1.5 m overtake cell at 230.9 units. The fix matches the</w:t>
      </w:r>
      <w:r>
        <w:t xml:space="preserve"> </w:t>
      </w:r>
      <w:r>
        <w:t xml:space="preserve">covariate window to the shown clip (</w:t>
      </w:r>
      <w:r>
        <w:rPr>
          <w:rStyle w:val="VerbatimChar"/>
        </w:rPr>
        <w:t xml:space="preserve">RANDOM_CLIP_LEAD_S</w:t>
      </w:r>
      <w:r>
        <w:t xml:space="preserve">,</w:t>
      </w:r>
      <w:r>
        <w:t xml:space="preserve"> </w:t>
      </w:r>
      <w:r>
        <w:rPr>
          <w:rStyle w:val="VerbatimChar"/>
        </w:rPr>
        <w:t xml:space="preserve">C1_COV_END_S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comfortzone.czb_data</w:t>
      </w:r>
      <w:r>
        <w:t xml:space="preserve">, with property tests).</w:t>
      </w:r>
      <w:r>
        <w:t xml:space="preserve"> </w:t>
      </w:r>
      <w:r>
        <w:rPr>
          <w:b/>
          <w:bCs/>
        </w:rPr>
        <w:t xml:space="preserve">Decision: C1 stays in the fit</w:t>
      </w:r>
      <w:r>
        <w:t xml:space="preserve"> </w:t>
      </w:r>
      <w:r>
        <w:t xml:space="preserve">with</w:t>
      </w:r>
      <w:r>
        <w:t xml:space="preserve"> </w:t>
      </w:r>
      <w:r>
        <w:t xml:space="preserve">the corrected (~1-unit) covariates and identifies the lapse, exactly as the model</w:t>
      </w:r>
      <w:r>
        <w:t xml:space="preserve"> </w:t>
      </w:r>
      <w:r>
        <w:t xml:space="preserve">assumes.</w:t>
      </w:r>
    </w:p>
    <w:p>
      <w:pPr>
        <w:pStyle w:val="BodyText"/>
      </w:pPr>
      <w:r>
        <w:t xml:space="preserve">The second study then revises the interpretation I gave the residual C1 behaviour</w:t>
      </w:r>
      <w:r>
        <w:t xml:space="preserve"> </w:t>
      </w:r>
      <w:r>
        <w:t xml:space="preserve">when raising B2.Q5. Study 1’s three C1 cells are ordered by gap</w:t>
      </w:r>
      <w:r>
        <w:t xml:space="preserve"> </w:t>
      </w:r>
      <w:r>
        <w:t xml:space="preserve">(0.122 / 0.070 / 0.052), which I read as an ordinary proximity response the</w:t>
      </w:r>
      <w:r>
        <w:t xml:space="preserve"> </w:t>
      </w:r>
      <w:r>
        <w:t xml:space="preserve">lane-gated field cannot express. The second study’s 90 CP1 cells span gaps of</w:t>
      </w:r>
      <w:r>
        <w:t xml:space="preserve"> </w:t>
      </w:r>
      <w:r>
        <w:t xml:space="preserve">3.9–82 m and are</w:t>
      </w:r>
      <w:r>
        <w:t xml:space="preserve"> </w:t>
      </w:r>
      <w:r>
        <w:rPr>
          <w:b/>
          <w:bCs/>
        </w:rPr>
        <w:t xml:space="preserve">flat</w:t>
      </w:r>
      <w:r>
        <w:t xml:space="preserve"> </w:t>
      </w:r>
      <w:r>
        <w:t xml:space="preserve">(rates 0.000–0.115, ρ(gap) = −0.04): drivers do not, in</w:t>
      </w:r>
      <w:r>
        <w:t xml:space="preserve"> </w:t>
      </w:r>
      <w:r>
        <w:t xml:space="preserve">fact, respond to adjacent-lane longitudinal proximity before encroachment. The</w:t>
      </w:r>
      <w:r>
        <w:t xml:space="preserve"> </w:t>
      </w:r>
      <w:r>
        <w:t xml:space="preserve">lane-gated flat floor is</w:t>
      </w:r>
      <w:r>
        <w:t xml:space="preserve"> </w:t>
      </w:r>
      <w:r>
        <w:rPr>
          <w:i/>
          <w:iCs/>
        </w:rPr>
        <w:t xml:space="preserve">supported</w:t>
      </w:r>
      <w:r>
        <w:t xml:space="preserve"> </w:t>
      </w:r>
      <w:r>
        <w:t xml:space="preserve">at pre-encroachment, and the study-1 C1</w:t>
      </w:r>
      <w:r>
        <w:t xml:space="preserve"> </w:t>
      </w:r>
      <w:r>
        <w:t xml:space="preserve">gradient is better read as exposure-driven anticipation — study 1 shows 3 conditions</w:t>
      </w:r>
      <w:r>
        <w:t xml:space="preserve"> </w:t>
      </w:r>
      <w:r>
        <w:t xml:space="preserve">~24 times each (learnable), study 2 spreads exposure over 72 distinct clips, and its</w:t>
      </w:r>
      <w:r>
        <w:t xml:space="preserve"> </w:t>
      </w:r>
      <w:r>
        <w:t xml:space="preserve">own repeat manipulation shows the learning directly (P(intervene) 0.547 → 0.575 on</w:t>
      </w:r>
      <w:r>
        <w:t xml:space="preserve"> </w:t>
      </w:r>
      <w:r>
        <w:t xml:space="preserve">the second showing of an identical clip). This is R.1.Q3’s account, now with the</w:t>
      </w:r>
      <w:r>
        <w:t xml:space="preserve"> </w:t>
      </w:r>
      <w:r>
        <w:t xml:space="preserve">mechanism’s direct test behind it.</w:t>
      </w:r>
    </w:p>
    <w:bookmarkEnd w:id="10"/>
    <w:bookmarkStart w:id="11" w:name="Xdf837b825a9e9f73e0fdc8cb0509df80139e38f"/>
    <w:p>
      <w:pPr>
        <w:pStyle w:val="Heading2"/>
      </w:pPr>
      <w:r>
        <w:t xml:space="preserve">3 The lateral term: not built, and the sign derivation that decided it</w:t>
      </w:r>
    </w:p>
    <w:p>
      <w:pPr>
        <w:pStyle w:val="FirstParagraph"/>
      </w:pPr>
      <w:r>
        <w:t xml:space="preserve">The gate’s original question — re-derive Σ or adopt the Driver’s Risk Field — is</w:t>
      </w:r>
      <w:r>
        <w:t xml:space="preserve"> </w:t>
      </w:r>
      <w:r>
        <w:t xml:space="preserve">answered</w:t>
      </w:r>
      <w:r>
        <w:t xml:space="preserve"> </w:t>
      </w:r>
      <w:r>
        <w:rPr>
          <w:i/>
          <w:iCs/>
        </w:rPr>
        <w:t xml:space="preserve">neither</w:t>
      </w:r>
      <w:r>
        <w:t xml:space="preserve">, for two reasons that arrived in order.</w:t>
      </w:r>
    </w:p>
    <w:p>
      <w:pPr>
        <w:pStyle w:val="BodyText"/>
      </w:pPr>
      <w:r>
        <w:t xml:space="preserve">First, R.2.Q1’s instruction was to derive the sign of the distance effect under the</w:t>
      </w:r>
      <w:r>
        <w:t xml:space="preserve"> </w:t>
      </w:r>
      <w:r>
        <w:t xml:space="preserve">expected-deficit proposal before writing model code. Done numerically on the actual</w:t>
      </w:r>
      <w:r>
        <w:t xml:space="preserve"> </w:t>
      </w:r>
      <w:r>
        <w:t xml:space="preserve">preference function (</w:t>
      </w:r>
      <w:r>
        <w:rPr>
          <w:rStyle w:val="VerbatimChar"/>
        </w:rPr>
        <w:t xml:space="preserve">replication/czb/expected_deficit_sign.py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out/expected_deficit_sign.md</w:t>
      </w:r>
      <w:r>
        <w:t xml:space="preserve">), over the second study’s own delta-velocity range:</w:t>
      </w:r>
      <w:r>
        <w:t xml:space="preserve"> </w:t>
      </w:r>
      <w:r>
        <w:t xml:space="preserve">the point field’s within-row direction at matched TTC is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— ρ(gap,</w:t>
      </w:r>
      <w:r>
        <w:t xml:space="preserve"> </w:t>
      </w:r>
      <w:r>
        <w:t xml:space="preserve">d) = +1.00 at TTC 2–3 s, −1.00 at TTC 5–7 s, through the counterfactual-residual</w:t>
      </w:r>
      <w:r>
        <w:t xml:space="preserve"> </w:t>
      </w:r>
      <w:r>
        <w:t xml:space="preserve">term — and distance-scaled perceptual noise shifts E[d] by at most ~10% with</w:t>
      </w:r>
      <w:r>
        <w:t xml:space="preserve"> </w:t>
      </w:r>
      <w:r>
        <w:t xml:space="preserve">inconsistent sign. The observed effect is first-order and monotone (24 of 24 rows).</w:t>
      </w:r>
      <w:r>
        <w:t xml:space="preserve"> </w:t>
      </w:r>
      <w:r>
        <w:t xml:space="preserve">The expected-deficit mechanism therefore</w:t>
      </w:r>
      <w:r>
        <w:t xml:space="preserve"> </w:t>
      </w:r>
      <w:r>
        <w:rPr>
          <w:b/>
          <w:bCs/>
        </w:rPr>
        <w:t xml:space="preserve">fails as the explanation of the</w:t>
      </w:r>
      <w:r>
        <w:rPr>
          <w:b/>
          <w:bCs/>
        </w:rPr>
        <w:t xml:space="preserve"> </w:t>
      </w:r>
      <w:r>
        <w:rPr>
          <w:b/>
          <w:bCs/>
        </w:rPr>
        <w:t xml:space="preserve">distance–time anomaly</w:t>
      </w:r>
      <w:r>
        <w:t xml:space="preserve">, per the note’s own stop rule; it remains directionally</w:t>
      </w:r>
      <w:r>
        <w:t xml:space="preserve"> </w:t>
      </w:r>
      <w:r>
        <w:t xml:space="preserve">right only for the lateral-clearance problem.</w:t>
      </w:r>
    </w:p>
    <w:p>
      <w:pPr>
        <w:pStyle w:val="BodyText"/>
      </w:pPr>
      <w:r>
        <w:t xml:space="preserve">Second, with §1’s verdict, a lateral extension would graft a comfort term onto a</w:t>
      </w:r>
      <w:r>
        <w:t xml:space="preserve"> </w:t>
      </w:r>
      <w:r>
        <w:t xml:space="preserve">longitudinal core the data have rejected. The pre-registered LTAP and overtake tests</w:t>
      </w:r>
      <w:r>
        <w:t xml:space="preserve"> </w:t>
      </w:r>
      <w:r>
        <w:t xml:space="preserve">of the expectation proposal (</w:t>
      </w:r>
      <w:r>
        <w:rPr>
          <w:rStyle w:val="VerbatimChar"/>
        </w:rPr>
        <w:t xml:space="preserve">docs/lateral_and_uncertainty_note.md</w:t>
      </w:r>
      <w:r>
        <w:t xml:space="preserve"> </w:t>
      </w:r>
      <w:r>
        <w:t xml:space="preserve">§6 steps 2–3)</w:t>
      </w:r>
      <w:r>
        <w:t xml:space="preserve"> </w:t>
      </w:r>
      <w:r>
        <w:t xml:space="preserve">are therefore</w:t>
      </w:r>
      <w:r>
        <w:t xml:space="preserve"> </w:t>
      </w:r>
      <w:r>
        <w:rPr>
          <w:b/>
          <w:bCs/>
        </w:rPr>
        <w:t xml:space="preserve">not run</w:t>
      </w:r>
      <w:r>
        <w:t xml:space="preserve">. Kolekar et al.’s DRF is re-positioned: no longer a donor</w:t>
      </w:r>
      <w:r>
        <w:t xml:space="preserve"> </w:t>
      </w:r>
      <w:r>
        <w:t xml:space="preserve">of a lateral term for our field, but a member of the comparator class for the</w:t>
      </w:r>
      <w:r>
        <w:t xml:space="preserve"> </w:t>
      </w:r>
      <w:r>
        <w:t xml:space="preserve">restated program (§4) — it is an independently validated instance of</w:t>
      </w:r>
      <w:r>
        <w:t xml:space="preserve"> </w:t>
      </w:r>
      <w:r>
        <w:t xml:space="preserve">“keep one</w:t>
      </w:r>
      <w:r>
        <w:t xml:space="preserve"> </w:t>
      </w:r>
      <w:r>
        <w:t xml:space="preserve">scalar below a threshold”</w:t>
      </w:r>
      <w:r>
        <w:t xml:space="preserve">, which is the claim that survives.</w:t>
      </w:r>
    </w:p>
    <w:bookmarkEnd w:id="11"/>
    <w:bookmarkStart w:id="12" w:name="X04ef80aa9b9381dc6fae98822fbf11811d4091f"/>
    <w:p>
      <w:pPr>
        <w:pStyle w:val="Heading2"/>
      </w:pPr>
      <w:r>
        <w:t xml:space="preserve">4 What survives, and what the headline becomes</w:t>
      </w:r>
    </w:p>
    <w:p>
      <w:pPr>
        <w:pStyle w:val="FirstParagraph"/>
      </w:pPr>
      <w:r>
        <w:t xml:space="preserve">The card asked the gate to say this explicitly, so:</w:t>
      </w:r>
      <w:r>
        <w:t xml:space="preserve"> </w:t>
      </w:r>
      <w:r>
        <w:rPr>
          <w:b/>
          <w:bCs/>
        </w:rPr>
        <w:t xml:space="preserve">the project’s headline result</w:t>
      </w:r>
      <w:r>
        <w:rPr>
          <w:b/>
          <w:bCs/>
        </w:rPr>
        <w:t xml:space="preserve"> </w:t>
      </w:r>
      <w:r>
        <w:rPr>
          <w:b/>
          <w:bCs/>
        </w:rPr>
        <w:t xml:space="preserve">is the trait claim, not the field.</w:t>
      </w:r>
      <w:r>
        <w:t xml:space="preserve"> </w:t>
      </w:r>
      <w:r>
        <w:t xml:space="preserve">What stands, each with its evidence: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driver carries one comfort-zone level across scenarios.</w:t>
      </w:r>
      <w:r>
        <w:t xml:space="preserve"> </w:t>
      </w:r>
      <w:r>
        <w:t xml:space="preserve">Per-driver</w:t>
      </w:r>
      <w:r>
        <w:t xml:space="preserve"> </w:t>
      </w:r>
      <w:r>
        <w:t xml:space="preserve">criticality-adjusted propensity correlates +0.50 to +0.74 across all six scenario</w:t>
      </w:r>
      <w:r>
        <w:t xml:space="preserve"> </w:t>
      </w:r>
      <w:r>
        <w:t xml:space="preserve">pairs, 0.53–0.78 of the reliability ceiling, mean ~0.69 — measured with no field</w:t>
      </w:r>
      <w:r>
        <w:t xml:space="preserve"> </w:t>
      </w:r>
      <w:r>
        <w:t xml:space="preserve">at all (</w:t>
      </w:r>
      <w:r>
        <w:rPr>
          <w:rStyle w:val="VerbatimChar"/>
        </w:rPr>
        <w:t xml:space="preserve">out/cross_scenario_consistency.md</w:t>
      </w:r>
      <w:r>
        <w:t xml:space="preserve">). About a third of reliable</w:t>
      </w:r>
      <w:r>
        <w:t xml:space="preserve"> </w:t>
      </w:r>
      <w:r>
        <w:t xml:space="preserve">per-driver variance is scenario-specific, which caps every transfer test.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boundary distribution is well estimated on its own scale, and it is</w:t>
      </w:r>
      <w:r>
        <w:rPr>
          <w:b/>
          <w:bCs/>
        </w:rPr>
        <w:t xml:space="preserve"> </w:t>
      </w:r>
      <w:r>
        <w:rPr>
          <w:b/>
          <w:bCs/>
        </w:rPr>
        <w:t xml:space="preserve">stable.</w:t>
      </w:r>
      <w:r>
        <w:t xml:space="preserve"> </w:t>
      </w:r>
      <w:r>
        <w:t xml:space="preserve">A.2.v2 regenerated the percentile table under k = 12 + the covariate</w:t>
      </w:r>
      <w:r>
        <w:t xml:space="preserve"> </w:t>
      </w:r>
      <w:r>
        <w:t xml:space="preserve">fix: the 50th/80th/95th percentiles moved +0.9% / +0.2% / −0.5%</w:t>
      </w:r>
      <w:r>
        <w:t xml:space="preserve"> </w:t>
      </w:r>
      <w:r>
        <w:t xml:space="preserve">(</w:t>
      </w:r>
      <w:r>
        <w:rPr>
          <w:rStyle w:val="VerbatimChar"/>
        </w:rPr>
        <w:t xml:space="preserve">out/stage1_summary.md</w:t>
      </w:r>
      <w:r>
        <w:t xml:space="preserve">). The lapse–threshold correlation is partly a real trait</w:t>
      </w:r>
      <w:r>
        <w:t xml:space="preserve"> </w:t>
      </w:r>
      <w:r>
        <w:t xml:space="preserve">(fitted ρ = −0.717, SE 0.128, against an estimator-artifact baseline of −0.27)</w:t>
      </w:r>
      <w:r>
        <w:t xml:space="preserve"> </w:t>
      </w:r>
      <w:r>
        <w:t xml:space="preserve">and does not move the deliverable.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Transfer works once the per-scenario lapse is freed</w:t>
      </w:r>
      <w:r>
        <w:t xml:space="preserve"> </w:t>
      </w:r>
      <w:r>
        <w:t xml:space="preserve">(re-run under the new</w:t>
      </w:r>
      <w:r>
        <w:t xml:space="preserve"> </w:t>
      </w:r>
      <w:r>
        <w:t xml:space="preserve">spec this session;</w:t>
      </w:r>
      <w:r>
        <w:t xml:space="preserve"> </w:t>
      </w:r>
      <w:r>
        <w:rPr>
          <w:rStyle w:val="VerbatimChar"/>
        </w:rPr>
        <w:t xml:space="preserve">out/transfer_overtake_summary.md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best within-scenario criticality axis on the decisive dataset is the</w:t>
      </w:r>
      <w:r>
        <w:rPr>
          <w:b/>
          <w:bCs/>
        </w:rPr>
        <w:t xml:space="preserve"> </w:t>
      </w:r>
      <w:r>
        <w:rPr>
          <w:b/>
          <w:bCs/>
        </w:rPr>
        <w:t xml:space="preserve">longitudinal gap</w:t>
      </w:r>
      <w:r>
        <w:t xml:space="preserve"> </w:t>
      </w:r>
      <w:r>
        <w:t xml:space="preserve">(log scale), with TTC close behind and required deceleration</w:t>
      </w:r>
      <w:r>
        <w:t xml:space="preserve"> </w:t>
      </w:r>
      <w:r>
        <w:t xml:space="preserve">nowhere — which is a statement about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demand-based axis, not only ours.</w:t>
      </w:r>
    </w:p>
    <w:p>
      <w:pPr>
        <w:pStyle w:val="FirstParagraph"/>
      </w:pPr>
      <w:r>
        <w:t xml:space="preserve">The restated claim, recommended wording:</w:t>
      </w:r>
      <w:r>
        <w:t xml:space="preserve"> </w:t>
      </w:r>
      <w:r>
        <w:rPr>
          <w:i/>
          <w:iCs/>
        </w:rPr>
        <w:t xml:space="preserve">each driver carries a scalar comfort-zone</w:t>
      </w:r>
      <w:r>
        <w:rPr>
          <w:i/>
          <w:iCs/>
        </w:rPr>
        <w:t xml:space="preserve"> </w:t>
      </w:r>
      <w:r>
        <w:rPr>
          <w:i/>
          <w:iCs/>
        </w:rPr>
        <w:t xml:space="preserve">threshold that is substantially shared across scenarios; the right criticality axis</w:t>
      </w:r>
      <w:r>
        <w:rPr>
          <w:i/>
          <w:iCs/>
        </w:rPr>
        <w:t xml:space="preserve"> </w:t>
      </w:r>
      <w:r>
        <w:rPr>
          <w:i/>
          <w:iCs/>
        </w:rPr>
        <w:t xml:space="preserve">is an open empirical question on which simple scene scalars currently beat the</w:t>
      </w:r>
      <w:r>
        <w:rPr>
          <w:i/>
          <w:iCs/>
        </w:rPr>
        <w:t xml:space="preserve"> </w:t>
      </w:r>
      <w:r>
        <w:rPr>
          <w:i/>
          <w:iCs/>
        </w:rPr>
        <w:t xml:space="preserve">active-inference preference field, whose kinematic content is ruled out as fitted.</w:t>
      </w:r>
      <w:r>
        <w:t xml:space="preserve"> </w:t>
      </w:r>
      <w:r>
        <w:t xml:space="preserve">The elliptical-joint / per-scenario 2D comparator program moves from fallback to</w:t>
      </w:r>
      <w:r>
        <w:t xml:space="preserve"> </w:t>
      </w:r>
      <w:r>
        <w:t xml:space="preserve">primary for the axis question — this is the fallback position the project recorded</w:t>
      </w:r>
      <w:r>
        <w:t xml:space="preserve"> </w:t>
      </w:r>
      <w:r>
        <w:t xml:space="preserve">in advance, now triggered by its stated condition.</w:t>
      </w:r>
    </w:p>
    <w:p>
      <w:pPr>
        <w:pStyle w:val="BodyText"/>
      </w:pPr>
      <w:r>
        <w:t xml:space="preserve">Program consequences routed to Jonas (queries R.2.Q4–Q6 in the register): whether</w:t>
      </w:r>
      <w:r>
        <w:t xml:space="preserve"> </w:t>
      </w:r>
      <w:r>
        <w:t xml:space="preserve">B.2/B.3 stay field constructions or become comparator-class constructions; how the</w:t>
      </w:r>
      <w:r>
        <w:t xml:space="preserve"> </w:t>
      </w:r>
      <w:r>
        <w:t xml:space="preserve">assessment document and any manuscript position the active-inference contribution</w:t>
      </w:r>
      <w:r>
        <w:t xml:space="preserve"> </w:t>
      </w:r>
      <w:r>
        <w:t xml:space="preserve">(the framing, the calibration pipeline, and the falsification itself are all real</w:t>
      </w:r>
      <w:r>
        <w:t xml:space="preserve"> </w:t>
      </w:r>
      <w:r>
        <w:t xml:space="preserve">contributions); and whether the handbook’s CZB chapters wait for his Word review or</w:t>
      </w:r>
      <w:r>
        <w:t xml:space="preserve"> </w:t>
      </w:r>
      <w:r>
        <w:t xml:space="preserve">get a correcting note now.</w:t>
      </w:r>
    </w:p>
    <w:bookmarkEnd w:id="12"/>
    <w:bookmarkStart w:id="13" w:name="the-a.3-verdicts-wording-narrowed"/>
    <w:p>
      <w:pPr>
        <w:pStyle w:val="Heading2"/>
      </w:pPr>
      <w:r>
        <w:t xml:space="preserve">5 The A.3 verdict’s wording: narrowed</w:t>
      </w:r>
    </w:p>
    <w:p>
      <w:pPr>
        <w:pStyle w:val="FirstParagraph"/>
      </w:pPr>
      <w:r>
        <w:t xml:space="preserve">Done in place (</w:t>
      </w:r>
      <w:r>
        <w:rPr>
          <w:rStyle w:val="VerbatimChar"/>
        </w:rPr>
        <w:t xml:space="preserve">docs/active_inference_for_czb_assessment.md</w:t>
      </w:r>
      <w:r>
        <w:t xml:space="preserve">, dated note): the FAIL</w:t>
      </w:r>
      <w:r>
        <w:t xml:space="preserve"> </w:t>
      </w:r>
      <w:r>
        <w:t xml:space="preserve">stands for the accumulator we specified — deficit-driven drift, non-leaky, fixed</w:t>
      </w:r>
      <w:r>
        <w:t xml:space="preserve"> </w:t>
      </w:r>
      <w:r>
        <w:t xml:space="preserve">bound, on this repeated-exposure stimulus set — and licenses no claim about</w:t>
      </w:r>
      <w:r>
        <w:t xml:space="preserve"> </w:t>
      </w:r>
      <w:r>
        <w:t xml:space="preserve">evidence accumulation as a family, whose standard traffic architectures (looming or</w:t>
      </w:r>
      <w:r>
        <w:t xml:space="preserve"> </w:t>
      </w:r>
      <w:r>
        <w:t xml:space="preserve">TTC drift, leaky accumulation, collapsing bounds; Bontje et al., 2026) were never</w:t>
      </w:r>
      <w:r>
        <w:t xml:space="preserve"> </w:t>
      </w:r>
      <w:r>
        <w:t xml:space="preserve">tested.</w:t>
      </w:r>
    </w:p>
    <w:bookmarkEnd w:id="13"/>
    <w:bookmarkStart w:id="14" w:name="X641431e9c7b37db3db3e49391bf5f941a38f2da"/>
    <w:p>
      <w:pPr>
        <w:pStyle w:val="Heading2"/>
      </w:pPr>
      <w:r>
        <w:t xml:space="preserve">6 The R.1 queries the gate was asked to settle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R.1.Q1</w:t>
      </w:r>
      <w:r>
        <w:t xml:space="preserve"> </w:t>
      </w:r>
      <w:r>
        <w:t xml:space="preserve">(percentile quoting): adopted as a convention in A.2.v2 — every</w:t>
      </w:r>
      <w:r>
        <w:t xml:space="preserve"> </w:t>
      </w:r>
      <w:r>
        <w:t xml:space="preserve">percentile is quoted as value, CI, and specification (bias variant, k, covariate</w:t>
      </w:r>
      <w:r>
        <w:t xml:space="preserve"> </w:t>
      </w:r>
      <w:r>
        <w:t xml:space="preserve">window); the summary header names the full spec.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R.1.Q2</w:t>
      </w:r>
      <w:r>
        <w:t xml:space="preserve"> </w:t>
      </w:r>
      <w:r>
        <w:t xml:space="preserve">(lapse–threshold correlation): settled by the correlated-effects fit —</w:t>
      </w:r>
      <w:r>
        <w:t xml:space="preserve"> </w:t>
      </w:r>
      <w:r>
        <w:t xml:space="preserve">ρ = −0.717 (SE 0.128) against the −0.27 artifact baseline; partly real, does not</w:t>
      </w:r>
      <w:r>
        <w:t xml:space="preserve"> </w:t>
      </w:r>
      <w:r>
        <w:t xml:space="preserve">move the 80th percentile beyond the pre-stated rule; hierarchical stays primary.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R.1.Q3</w:t>
      </w:r>
      <w:r>
        <w:t xml:space="preserve"> </w:t>
      </w:r>
      <w:r>
        <w:t xml:space="preserve">(anticipation): turned into a concrete estimator, recorded in</w:t>
      </w:r>
      <w:r>
        <w:t xml:space="preserve"> </w:t>
      </w:r>
      <w:r>
        <w:rPr>
          <w:rStyle w:val="VerbatimChar"/>
        </w:rPr>
        <w:t xml:space="preserve">docs/czb_validation_roadmap.md</w:t>
      </w:r>
      <w:r>
        <w:t xml:space="preserve"> </w:t>
      </w:r>
      <w:r>
        <w:t xml:space="preserve">§4c item 5 — a joint study+NDS fit sharing the</w:t>
      </w:r>
      <w:r>
        <w:t xml:space="preserve"> </w:t>
      </w:r>
      <w:r>
        <w:t xml:space="preserve">boundary population, with a criticality-dependent paradigm offset</w:t>
      </w:r>
      <w:r>
        <w:t xml:space="preserve"> </w:t>
      </w:r>
      <w:r>
        <w:t xml:space="preserve">δ(x) = δ0 + δ1(x − x̄) identified by the slope difference; with the caution that</w:t>
      </w:r>
      <w:r>
        <w:t xml:space="preserve"> </w:t>
      </w:r>
      <w:r>
        <w:t xml:space="preserve">δ1 absorbs paradigm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field misspecification, which the comparison cannot</w:t>
      </w:r>
      <w:r>
        <w:t xml:space="preserve"> </w:t>
      </w:r>
      <w:r>
        <w:t xml:space="preserve">separate.</w:t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Bontje, F., van Waveren, F., van Maanen, L., Nallapu, B., Markkula, G., &amp;</w:t>
      </w:r>
      <w:r>
        <w:t xml:space="preserve"> </w:t>
      </w:r>
      <w:r>
        <w:t xml:space="preserve">Zgonnikov, A. (2026).</w:t>
      </w:r>
      <w:r>
        <w:t xml:space="preserve"> </w:t>
      </w:r>
      <w:r>
        <w:rPr>
          <w:i/>
          <w:iCs/>
        </w:rPr>
        <w:t xml:space="preserve">Knowing when to move: Evidence accumulation models of human</w:t>
      </w:r>
      <w:r>
        <w:rPr>
          <w:i/>
          <w:iCs/>
        </w:rPr>
        <w:t xml:space="preserve"> </w:t>
      </w:r>
      <w:r>
        <w:rPr>
          <w:i/>
          <w:iCs/>
        </w:rPr>
        <w:t xml:space="preserve">behavior in traffic</w:t>
      </w:r>
      <w:r>
        <w:t xml:space="preserve"> </w:t>
      </w:r>
      <w:r>
        <w:t xml:space="preserve">(arXiv:2606.00727). arXiv. https://arxiv.org/abs/2606.00727</w:t>
      </w:r>
    </w:p>
    <w:p>
      <w:pPr>
        <w:pStyle w:val="BodyText"/>
      </w:pPr>
      <w:r>
        <w:t xml:space="preserve">Kolekar, S., de Winter, J., &amp; Abbink, D. (2020). Human-like driving behaviour</w:t>
      </w:r>
      <w:r>
        <w:t xml:space="preserve"> </w:t>
      </w:r>
      <w:r>
        <w:t xml:space="preserve">emerges from a risk-based driver model.</w:t>
      </w:r>
      <w:r>
        <w:t xml:space="preserve"> </w:t>
      </w:r>
      <w:r>
        <w:rPr>
          <w:i/>
          <w:iCs/>
        </w:rPr>
        <w:t xml:space="preserve">Nature Communications, 11</w:t>
      </w:r>
      <w:r>
        <w:t xml:space="preserve">, Article 4850.</w:t>
      </w:r>
      <w:r>
        <w:t xml:space="preserve"> </w:t>
      </w:r>
      <w:r>
        <w:t xml:space="preserve">https://doi.org/10.1038/s41467-020-18353-4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2026-08-29T08:11:03Z</dcterms:created>
  <dcterms:modified xsi:type="dcterms:W3CDTF">2026-08-29T08:11:03Z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