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3a62a5a69352328cecc0133256cf4d20212fba2"/>
    <w:p>
      <w:pPr>
        <w:pStyle w:val="Heading1"/>
      </w:pPr>
      <w:r>
        <w:t xml:space="preserve">Roadmap: deciding whether the field earns its keep</w:t>
      </w:r>
    </w:p>
    <w:p>
      <w:pPr>
        <w:pStyle w:val="FirstParagraph"/>
      </w:pPr>
      <w:r>
        <w:rPr>
          <w:i/>
          <w:iCs/>
        </w:rPr>
        <w:t xml:space="preserve">2026-08-27, evening. Jonas asked for a plan covering the two decidable claims in the</w:t>
      </w:r>
      <w:r>
        <w:rPr>
          <w:i/>
          <w:iCs/>
        </w:rPr>
        <w:t xml:space="preserve"> </w:t>
      </w:r>
      <w:r>
        <w:rPr>
          <w:i/>
          <w:iCs/>
        </w:rPr>
        <w:t xml:space="preserve">assessment (</w:t>
      </w:r>
      <w:r>
        <w:rPr>
          <w:i/>
          <w:iCs/>
        </w:rPr>
        <w:t xml:space="preserve">“the accumulator closes the within-scenario gap”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“the level transfers</w:t>
      </w:r>
      <w:r>
        <w:rPr>
          <w:i/>
          <w:iCs/>
        </w:rPr>
        <w:t xml:space="preserve"> </w:t>
      </w:r>
      <w:r>
        <w:rPr>
          <w:i/>
          <w:iCs/>
        </w:rPr>
        <w:t xml:space="preserve">across scenarios”</w:t>
      </w:r>
      <w:r>
        <w:rPr>
          <w:i/>
          <w:iCs/>
        </w:rPr>
        <w:t xml:space="preserve">) and, more broadly, for rolling out everything in the assessment’s</w:t>
      </w:r>
      <w:r>
        <w:rPr>
          <w:i/>
          <w:iCs/>
        </w:rPr>
        <w:t xml:space="preserve"> </w:t>
      </w:r>
      <w:r>
        <w:rPr>
          <w:i/>
          <w:iCs/>
        </w:rPr>
        <w:t xml:space="preserve">ADAS-trigger section. This document is that plan. It also records the answers Jonas gave</w:t>
      </w:r>
      <w:r>
        <w:rPr>
          <w:i/>
          <w:iCs/>
        </w:rPr>
        <w:t xml:space="preserve"> </w:t>
      </w:r>
      <w:r>
        <w:rPr>
          <w:i/>
          <w:iCs/>
        </w:rPr>
        <w:t xml:space="preserve">to the fitting plan’s four questions and what they change. 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docs/czb_fitting_plan.md</w:t>
      </w:r>
      <w:r>
        <w:rPr>
          <w:i/>
          <w:iCs/>
        </w:rPr>
        <w:t xml:space="preserve"> </w:t>
      </w:r>
      <w:r>
        <w:rPr>
          <w:i/>
          <w:iCs/>
        </w:rPr>
        <w:t xml:space="preserve">(the model and estimation machinery),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docs/active_inference_for_czb_assessment.md</w:t>
      </w:r>
      <w:r>
        <w:rPr>
          <w:i/>
          <w:iCs/>
        </w:rPr>
        <w:t xml:space="preserve"> </w:t>
      </w:r>
      <w:r>
        <w:rPr>
          <w:i/>
          <w:iCs/>
        </w:rPr>
        <w:t xml:space="preserve">(the argument this plan tests).</w:t>
      </w:r>
    </w:p>
    <w:bookmarkStart w:id="9" w:name="X73aad9125bc06894f33b5a54ad8b09301665a6b"/>
    <w:p>
      <w:pPr>
        <w:pStyle w:val="Heading2"/>
      </w:pPr>
      <w:r>
        <w:t xml:space="preserve">0 What was already run tonight, because it was cheap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overfitting question is answered.</w:t>
      </w:r>
      <w:r>
        <w:t xml:space="preserve"> </w:t>
      </w:r>
      <w:r>
        <w:t xml:space="preserve">The within-scenario comparison is not an</w:t>
      </w:r>
      <w:r>
        <w:t xml:space="preserve"> </w:t>
      </w:r>
      <w:r>
        <w:t xml:space="preserve">in-sample artifact: under leave-one-criticality-out cross-validation (fit on two</w:t>
      </w:r>
      <w:r>
        <w:t xml:space="preserve"> </w:t>
      </w:r>
      <w:r>
        <w:t xml:space="preserve">criticality levels, predict the third) the field gives out-of-sample corr 0.864 /</w:t>
      </w:r>
      <w:r>
        <w:t xml:space="preserve"> </w:t>
      </w:r>
      <w:r>
        <w:t xml:space="preserve">RMSE 0.147 against the design regressions’ 0.934–0.949 / 0.097–0.108, and</w:t>
      </w:r>
      <w:r>
        <w:t xml:space="preserve"> </w:t>
      </w:r>
      <w:r>
        <w:t xml:space="preserve">leave-one-timepoint-out gives the same picture (field 0.870, regressions</w:t>
      </w:r>
      <w:r>
        <w:t xml:space="preserve"> </w:t>
      </w:r>
      <w:r>
        <w:t xml:space="preserve">0.933–0.948). The regressions genuinely generalize better</w:t>
      </w:r>
      <w:r>
        <w:t xml:space="preserve"> </w:t>
      </w:r>
      <w:r>
        <w:rPr>
          <w:i/>
          <w:iCs/>
        </w:rPr>
        <w:t xml:space="preserve">within this scenario</w:t>
      </w:r>
      <w:r>
        <w:t xml:space="preserve">,</w:t>
      </w:r>
      <w:r>
        <w:t xml:space="preserve"> </w:t>
      </w:r>
      <w:r>
        <w:t xml:space="preserve">including when extrapolating to an unseen criticality level. The field’s case</w:t>
      </w:r>
      <w:r>
        <w:t xml:space="preserve"> </w:t>
      </w:r>
      <w:r>
        <w:t xml:space="preserve">therefore rests, exactly as stated, on the accumulator, on portability, and on</w:t>
      </w:r>
      <w:r>
        <w:t xml:space="preserve"> </w:t>
      </w:r>
      <w:r>
        <w:t xml:space="preserve">state-based deployability — not on surface fit.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perceived-safety correlation exists and is strong</w:t>
      </w:r>
      <w:r>
        <w:t xml:space="preserve"> </w:t>
      </w:r>
      <w:r>
        <w:t xml:space="preserve">(Jonas’s request; figure</w:t>
      </w:r>
      <w:r>
        <w:t xml:space="preserve"> </w:t>
      </w:r>
      <w:r>
        <w:rPr>
          <w:rStyle w:val="VerbatimChar"/>
        </w:rPr>
        <w:t xml:space="preserve">figures/ps_vs_field.png</w:t>
      </w:r>
      <w:r>
        <w:t xml:space="preserve">, script</w:t>
      </w:r>
      <w:r>
        <w:t xml:space="preserve"> </w:t>
      </w:r>
      <w:r>
        <w:rPr>
          <w:rStyle w:val="VerbatimChar"/>
        </w:rPr>
        <w:t xml:space="preserve">replication/czb/ps_vs_field.py</w:t>
      </w:r>
      <w:r>
        <w:t xml:space="preserve">). The stored PS</w:t>
      </w:r>
      <w:r>
        <w:t xml:space="preserve"> </w:t>
      </w:r>
      <w:r>
        <w:t xml:space="preserve">scale is perceived</w:t>
      </w:r>
      <w:r>
        <w:t xml:space="preserve"> </w:t>
      </w:r>
      <w:r>
        <w:rPr>
          <w:i/>
          <w:iCs/>
        </w:rPr>
        <w:t xml:space="preserve">unsafety</w:t>
      </w:r>
      <w:r>
        <w:t xml:space="preserve"> </w:t>
      </w:r>
      <w:r>
        <w:t xml:space="preserve">(dictionary gotcha 1: higher = less safe). Against the</w:t>
      </w:r>
      <w:r>
        <w:t xml:space="preserve"> </w:t>
      </w:r>
      <w:r>
        <w:t xml:space="preserve">field: cell-level Spearman ρ = 0.93 (Pearson r = 0.84) over the 18 cells,</w:t>
      </w:r>
      <w:r>
        <w:t xml:space="preserve"> </w:t>
      </w:r>
      <w:r>
        <w:t xml:space="preserve">trial-level ρ = 0.58, and within-criticality trial-level ρ = 0.64 / 0.52 / 0.39</w:t>
      </w:r>
      <w:r>
        <w:t xml:space="preserve"> </w:t>
      </w:r>
      <w:r>
        <w:t xml:space="preserve">(TTC4/6/8). The ratings reproduce the same time-compression mismatch as the</w:t>
      </w:r>
      <w:r>
        <w:t xml:space="preserve"> </w:t>
      </w:r>
      <w:r>
        <w:t xml:space="preserve">intervention surface: ratings keep climbing through the window where the static</w:t>
      </w:r>
      <w:r>
        <w:t xml:space="preserve"> </w:t>
      </w:r>
      <w:r>
        <w:t xml:space="preserve">field flattens — a third independent appearance of the accumulator’s signature</w:t>
      </w:r>
      <w:r>
        <w:t xml:space="preserve"> </w:t>
      </w:r>
      <w:r>
        <w:t xml:space="preserve">(after P(intervene) and the ratings’ shape, the button densities will be the</w:t>
      </w:r>
      <w:r>
        <w:t xml:space="preserve"> </w:t>
      </w:r>
      <w:r>
        <w:t xml:space="preserve">fourth).</w:t>
      </w:r>
    </w:p>
    <w:bookmarkEnd w:id="9"/>
    <w:bookmarkStart w:id="10" w:name="Xc83bcdd42b7d55db0691d28fced298c48785cf3"/>
    <w:p>
      <w:pPr>
        <w:pStyle w:val="Heading2"/>
      </w:pPr>
      <w:r>
        <w:t xml:space="preserve">1 Stage A — close the within-scenario question (1–2 sessions, all data in hand)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Synthetic-recovery harness</w:t>
      </w:r>
      <w:r>
        <w:t xml:space="preserve"> </w:t>
      </w:r>
      <w:r>
        <w:t xml:space="preserve">for the stage-1 hierarchical model (fitting plan</w:t>
      </w:r>
      <w:r>
        <w:t xml:space="preserve"> </w:t>
      </w:r>
      <w:r>
        <w:t xml:space="preserve">§3). Simulate from known parameters, refit, confirm recovery. Gate for everything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Stage-1 hierarchical fit</w:t>
      </w:r>
      <w:r>
        <w:t xml:space="preserve"> </w:t>
      </w:r>
      <w:r>
        <w:t xml:space="preserve">on the Random cut-in surface: per-driver c_i, the</w:t>
      </w:r>
      <w:r>
        <w:t xml:space="preserve"> </w:t>
      </w:r>
      <w:r>
        <w:t xml:space="preserve">ordered braking-expectation thresholds, and</w:t>
      </w:r>
      <w:r>
        <w:t xml:space="preserve"> </w:t>
      </w:r>
      <w:r>
        <w:rPr>
          <w:b/>
          <w:bCs/>
        </w:rPr>
        <w:t xml:space="preserve">both bias variants</w:t>
      </w:r>
      <w:r>
        <w:t xml:space="preserve"> </w:t>
      </w:r>
      <w:r>
        <w:t xml:space="preserve">— group-level b</w:t>
      </w:r>
      <w:r>
        <w:t xml:space="preserve"> </w:t>
      </w:r>
      <w:r>
        <w:t xml:space="preserve">and hierarchical b_i with shrinkage — compared by held-out likelihood and by</w:t>
      </w:r>
      <w:r>
        <w:t xml:space="preserve"> </w:t>
      </w:r>
      <w:r>
        <w:t xml:space="preserve">posterior predictive on the C1 cells (the implications question; section 5.1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accumulator layer</w:t>
      </w:r>
      <w:r>
        <w:t xml:space="preserve">, fitted on the same surface. Decision criterion, stated</w:t>
      </w:r>
      <w:r>
        <w:t xml:space="preserve"> </w:t>
      </w:r>
      <w:r>
        <w:t xml:space="preserve">in advance: the accumulator variant should recover most of the gap to the design</w:t>
      </w:r>
      <w:r>
        <w:t xml:space="preserve"> </w:t>
      </w:r>
      <w:r>
        <w:t xml:space="preserve">regressions’ cross-validated RMSE (~0.10) without any per-scenario parameter. If</w:t>
      </w:r>
      <w:r>
        <w:t xml:space="preserve"> </w:t>
      </w:r>
      <w:r>
        <w:t xml:space="preserve">it does not, that is recorded as evidence against the framework, per the</w:t>
      </w:r>
      <w:r>
        <w:t xml:space="preserve"> </w:t>
      </w:r>
      <w:r>
        <w:t xml:space="preserve">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Button-side validation</w:t>
      </w:r>
      <w:r>
        <w:t xml:space="preserve">: predict the press-time densities (2 396 trials) with</w:t>
      </w:r>
      <w:r>
        <w:t xml:space="preserve"> </w:t>
      </w:r>
      <w:r>
        <w:t xml:space="preserve">one paradigm shift δ, fitted both as a level shift and as a rate shift; the shape</w:t>
      </w:r>
      <w:r>
        <w:t xml:space="preserve"> </w:t>
      </w:r>
      <w:r>
        <w:t xml:space="preserve">decides. Motor latency fixed per section 5.3.</w:t>
      </w:r>
    </w:p>
    <w:bookmarkEnd w:id="10"/>
    <w:bookmarkStart w:id="11" w:name="Xb3d48e256e5b3b92dc22145d418a698426a8005"/>
    <w:p>
      <w:pPr>
        <w:pStyle w:val="Heading2"/>
      </w:pPr>
      <w:r>
        <w:t xml:space="preserve">2 Stage B — the transfer test on data we already hold (the gate)</w:t>
      </w:r>
    </w:p>
    <w:p>
      <w:pPr>
        <w:pStyle w:val="FirstParagraph"/>
      </w:pPr>
      <w:r>
        <w:t xml:space="preserve">The Random design contains, with the same 43 participants and PS ratings throughout:</w:t>
      </w:r>
      <w:r>
        <w:t xml:space="preserve"> </w:t>
      </w:r>
      <w:r>
        <w:t xml:space="preserve">cut-in (3 × C1–C6), LTAP (8 PET levels × 2 speeds), cyclist overtake (3 clearances ×</w:t>
      </w:r>
      <w:r>
        <w:t xml:space="preserve"> </w:t>
      </w:r>
      <w:r>
        <w:t xml:space="preserve">C1–C5), truck overtake (5 lateral offsets). This is exactly the transfer design, held</w:t>
      </w:r>
      <w:r>
        <w:t xml:space="preserve"> </w:t>
      </w:r>
      <w:r>
        <w:t xml:space="preserve">in-house. What blocks it is field construction, not data: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Cyclist overtake</w:t>
      </w:r>
      <w:r>
        <w:t xml:space="preserve"> </w:t>
      </w:r>
      <w:r>
        <w:t xml:space="preserve">(first, easiest): same-lane longitudinal geometry, roles fixed</w:t>
      </w:r>
      <w:r>
        <w:t xml:space="preserve"> </w:t>
      </w:r>
      <w:r>
        <w:t xml:space="preserve">by instructed vehicle rather than lateral span (the loader mis-assigns these —</w:t>
      </w:r>
      <w:r>
        <w:t xml:space="preserve"> </w:t>
      </w:r>
      <w:r>
        <w:t xml:space="preserve">review finding 1.5). The ego closes on a cyclist; the existing rear-end field</w:t>
      </w:r>
      <w:r>
        <w:t xml:space="preserve"> </w:t>
      </w:r>
      <w:r>
        <w:t xml:space="preserve">applies nearly unchanged.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Truck overtake / truck lateral</w:t>
      </w:r>
      <w:r>
        <w:t xml:space="preserve">: the ego passes a stationary or drifting truck</w:t>
      </w:r>
      <w:r>
        <w:t xml:space="preserve"> </w:t>
      </w:r>
      <w:r>
        <w:t xml:space="preserve">with lateral clearance as the criticality axis. Needs the lateral-clearance term</w:t>
      </w:r>
      <w:r>
        <w:t xml:space="preserve"> </w:t>
      </w:r>
      <w:r>
        <w:t xml:space="preserve">rather than the car-following counterfactual; the preference function’s lateral</w:t>
      </w:r>
      <w:r>
        <w:t xml:space="preserve"> </w:t>
      </w:r>
      <w:r>
        <w:t xml:space="preserve">machinery (p_lat, and P_lane run</w:t>
      </w:r>
      <w:r>
        <w:t xml:space="preserve"> </w:t>
      </w:r>
      <w:r>
        <w:t xml:space="preserve">“sideways”</w:t>
      </w:r>
      <w:r>
        <w:t xml:space="preserve">) covers it, but this is a construction</w:t>
      </w:r>
      <w:r>
        <w:t xml:space="preserve"> </w:t>
      </w:r>
      <w:r>
        <w:t xml:space="preserve">to argue, not assume.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LTAP</w:t>
      </w:r>
      <w:r>
        <w:t xml:space="preserve">: crossing geometry — the cut-in x/y conventions are meaningless; the</w:t>
      </w:r>
      <w:r>
        <w:t xml:space="preserve"> </w:t>
      </w:r>
      <w:r>
        <w:t xml:space="preserve">collision-relevant quantity is arrival-time separation at the conflict zone. This</w:t>
      </w:r>
      <w:r>
        <w:t xml:space="preserve"> </w:t>
      </w:r>
      <w:r>
        <w:t xml:space="preserve">is the intersection scenario’s world model; the construction should follow the</w:t>
      </w:r>
      <w:r>
        <w:t xml:space="preserve"> </w:t>
      </w:r>
      <w:r>
        <w:t xml:space="preserve">authors’ intersection scenario the way the cut-in followed rear-end.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test itself</w:t>
      </w:r>
      <w:r>
        <w:t xml:space="preserve">: fit c (and the accumulator) on cut-in only; predict the other</w:t>
      </w:r>
      <w:r>
        <w:t xml:space="preserve"> </w:t>
      </w:r>
      <w:r>
        <w:t xml:space="preserve">three response surfaces with everything frozen. Pre-registered readout: predictive</w:t>
      </w:r>
      <w:r>
        <w:t xml:space="preserve"> </w:t>
      </w:r>
      <w:r>
        <w:t xml:space="preserve">correlation per scenario against (a) chance, (b) a per-scenario refit ceiling, and</w:t>
      </w:r>
    </w:p>
    <w:p>
      <w:pPr>
        <w:pStyle w:val="Compact"/>
        <w:numPr>
          <w:ilvl w:val="0"/>
          <w:numId w:val="1000"/>
        </w:numPr>
      </w:pPr>
      <w:r>
        <w:t xml:space="preserve">(c) the elliptical fallback fitted on conventional indicators. Pre-registered</w:t>
      </w:r>
      <w:r>
        <w:t xml:space="preserve"> </w:t>
      </w:r>
      <w:r>
        <w:t xml:space="preserve">confound control: the per-scenario</w:t>
      </w:r>
      <w:r>
        <w:t xml:space="preserve"> </w:t>
      </w:r>
      <w:r>
        <w:rPr>
          <w:i/>
          <w:iCs/>
        </w:rPr>
        <w:t xml:space="preserve">instruction</w:t>
      </w:r>
      <w:r>
        <w:t xml:space="preserve"> </w:t>
      </w:r>
      <w:r>
        <w:t xml:space="preserve">differs (intervene / abort /</w:t>
      </w:r>
      <w:r>
        <w:t xml:space="preserve"> </w:t>
      </w:r>
      <w:r>
        <w:t xml:space="preserve">yield), so a uniform shift per scenario is permitted in a secondary analysis and</w:t>
      </w:r>
      <w:r>
        <w:t xml:space="preserve"> </w:t>
      </w:r>
      <w:r>
        <w:t xml:space="preserve">the primary analysis allows none — both reported.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cheap preliminary before any of that</w:t>
      </w:r>
      <w:r>
        <w:t xml:space="preserve">: the PS ratings exist for all four</w:t>
      </w:r>
      <w:r>
        <w:t xml:space="preserve"> </w:t>
      </w:r>
      <w:r>
        <w:t xml:space="preserve">scenarios. Once a scenario’s field exists, the cell-level rating-versus-field</w:t>
      </w:r>
      <w:r>
        <w:t xml:space="preserve"> </w:t>
      </w:r>
      <w:r>
        <w:t xml:space="preserve">correlation (as run tonight for cut-in) is a transfer check that needs no fitting</w:t>
      </w:r>
      <w:r>
        <w:t xml:space="preserve"> </w:t>
      </w:r>
      <w:r>
        <w:t xml:space="preserve">at all. I would run it per scenario as each field construction lands.</w:t>
      </w:r>
    </w:p>
    <w:p>
      <w:pPr>
        <w:pStyle w:val="FirstParagraph"/>
      </w:pPr>
      <w:r>
        <w:rPr>
          <w:b/>
          <w:bCs/>
        </w:rPr>
        <w:t xml:space="preserve">Test-track data (Jonas’s offer).</w:t>
      </w:r>
      <w:r>
        <w:t xml:space="preserve"> </w:t>
      </w:r>
      <w:r>
        <w:t xml:space="preserve">What would make external LTAP/OD data usable, in</w:t>
      </w:r>
      <w:r>
        <w:t xml:space="preserve"> </w:t>
      </w:r>
      <w:r>
        <w:t xml:space="preserve">order of importance — this matches</w:t>
      </w:r>
      <w:r>
        <w:t xml:space="preserve"> </w:t>
      </w:r>
      <w:r>
        <w:rPr>
          <w:rStyle w:val="VerbatimChar"/>
        </w:rPr>
        <w:t xml:space="preserve">docs/data_requirements.pdf</w:t>
      </w:r>
      <w:r>
        <w:t xml:space="preserve">, which was written for</w:t>
      </w:r>
      <w:r>
        <w:t xml:space="preserve"> </w:t>
      </w:r>
      <w:r>
        <w:t xml:space="preserve">exactly this handoff: (1) paired-vehicle kinematics at ≥ 10 Hz (positions and speeds of</w:t>
      </w:r>
      <w:r>
        <w:t xml:space="preserve"> </w:t>
      </w:r>
      <w:r>
        <w:t xml:space="preserve">both vehicles on a common clock and datum; headings if turning); (2) a response-onset</w:t>
      </w:r>
      <w:r>
        <w:t xml:space="preserve"> </w:t>
      </w:r>
      <w:r>
        <w:t xml:space="preserve">label per trial (brake onset, or release/steer onset, extracted however the study</w:t>
      </w:r>
      <w:r>
        <w:t xml:space="preserve"> </w:t>
      </w:r>
      <w:r>
        <w:t xml:space="preserve">defined it — the definition matters more than the choice); (3) a per-driver identifier</w:t>
      </w:r>
      <w:r>
        <w:t xml:space="preserve"> </w:t>
      </w:r>
      <w:r>
        <w:t xml:space="preserve">across trials, since the whole point is per-driver levels; (4) the staging protocol</w:t>
      </w:r>
      <w:r>
        <w:t xml:space="preserve"> </w:t>
      </w:r>
      <w:r>
        <w:t xml:space="preserve">(scripted speeds, PET/gap levels, instruction wording — the instruction confound</w:t>
      </w:r>
      <w:r>
        <w:t xml:space="preserve"> </w:t>
      </w:r>
      <w:r>
        <w:t xml:space="preserve">again); (5) vehicle dimensions. Nice to have: gaze or distraction state, and any</w:t>
      </w:r>
      <w:r>
        <w:t xml:space="preserve"> </w:t>
      </w:r>
      <w:r>
        <w:t xml:space="preserve">subjective ratings. With (1)–(3) the test-track data can serve as a</w:t>
      </w:r>
      <w:r>
        <w:t xml:space="preserve"> </w:t>
      </w:r>
      <w:r>
        <w:rPr>
          <w:i/>
          <w:iCs/>
        </w:rPr>
        <w:t xml:space="preserve">second population</w:t>
      </w:r>
      <w:r>
        <w:t xml:space="preserve"> </w:t>
      </w:r>
      <w:r>
        <w:t xml:space="preserve">for the percentile question, not merely a replication.</w:t>
      </w:r>
    </w:p>
    <w:bookmarkEnd w:id="11"/>
    <w:bookmarkStart w:id="12" w:name="X477082055cacf83cf7bc361b0fb0dc5913f680c"/>
    <w:p>
      <w:pPr>
        <w:pStyle w:val="Heading2"/>
      </w:pPr>
      <w:r>
        <w:t xml:space="preserve">3 Stage C — the percentile sensitivity analysis (cheap; run right after stage 1)</w:t>
      </w:r>
    </w:p>
    <w:p>
      <w:pPr>
        <w:pStyle w:val="FirstParagraph"/>
      </w:pPr>
      <w:r>
        <w:t xml:space="preserve">From the fitted population distribution of c: compute the implied trigger onset time</w:t>
      </w:r>
      <w:r>
        <w:t xml:space="preserve"> </w:t>
      </w:r>
      <w:r>
        <w:t xml:space="preserve">per stimulus for percentiles 50–95 in steps of 5, and report d(onset)/d(percentile) in</w:t>
      </w:r>
      <w:r>
        <w:t xml:space="preserve"> </w:t>
      </w:r>
      <w:r>
        <w:t xml:space="preserve">seconds alongside the estimation uncertainty of the percentile itself. Decision this</w:t>
      </w:r>
      <w:r>
        <w:t xml:space="preserve"> </w:t>
      </w:r>
      <w:r>
        <w:t xml:space="preserve">informs, stated in advance: if the trigger moves more per 5 percentile points than per</w:t>
      </w:r>
      <w:r>
        <w:t xml:space="preserve"> </w:t>
      </w:r>
      <w:r>
        <w:t xml:space="preserve">sampling-uncertainty band, the bottleneck is the percentile</w:t>
      </w:r>
      <w:r>
        <w:t xml:space="preserve"> </w:t>
      </w:r>
      <w:r>
        <w:rPr>
          <w:i/>
          <w:iCs/>
        </w:rPr>
        <w:t xml:space="preserve">choice</w:t>
      </w:r>
      <w:r>
        <w:t xml:space="preserve"> </w:t>
      </w:r>
      <w:r>
        <w:t xml:space="preserve">(a policy</w:t>
      </w:r>
      <w:r>
        <w:t xml:space="preserve"> </w:t>
      </w:r>
      <w:r>
        <w:t xml:space="preserve">question), not the estimator, and further estimator refinement is deprioritized. The</w:t>
      </w:r>
      <w:r>
        <w:t xml:space="preserve"> </w:t>
      </w:r>
      <w:r>
        <w:t xml:space="preserve">same sweep run on the comfort-versus-dread axis (a_allowed from 3 to 8 m/s²) quantifies</w:t>
      </w:r>
      <w:r>
        <w:t xml:space="preserve"> </w:t>
      </w:r>
      <w:r>
        <w:t xml:space="preserve">which of the two choices dominates.</w:t>
      </w:r>
    </w:p>
    <w:bookmarkEnd w:id="12"/>
    <w:bookmarkStart w:id="13" w:name="X1ebb3ac79325e5350ef4799a441e2dc71354def"/>
    <w:p>
      <w:pPr>
        <w:pStyle w:val="Heading2"/>
      </w:pPr>
      <w:r>
        <w:t xml:space="preserve">4 Stage D — the comfort-versus-safety audit (the causation synergy)</w:t>
      </w:r>
    </w:p>
    <w:p>
      <w:pPr>
        <w:pStyle w:val="FirstParagraph"/>
      </w:pPr>
      <w:r>
        <w:t xml:space="preserve">For a small grid of candidate triggers (percentile × a_allowed), replay the QUADRIS</w:t>
      </w:r>
      <w:r>
        <w:t xml:space="preserve"> </w:t>
      </w:r>
      <w:r>
        <w:t xml:space="preserve">ensemble with an intervention fired at the trigger’s level crossing and score</w:t>
      </w:r>
      <w:r>
        <w:t xml:space="preserve"> </w:t>
      </w:r>
      <w:r>
        <w:t xml:space="preserve">counterfactual outcomes with the existing causation machinery (crash probability,</w:t>
      </w:r>
      <w:r>
        <w:t xml:space="preserve"> </w:t>
      </w:r>
      <w:r>
        <w:t xml:space="preserve">injury-weighted severity, and — for the nuisance side — trigger rate in the</w:t>
      </w:r>
      <w:r>
        <w:t xml:space="preserve"> </w:t>
      </w:r>
      <w:r>
        <w:t xml:space="preserve">non-crashing seed majority). Output: a two-axis map (safety benefit versus nuisance</w:t>
      </w:r>
      <w:r>
        <w:t xml:space="preserve"> </w:t>
      </w:r>
      <w:r>
        <w:t xml:space="preserve">frequency) with the CZB percentiles marked on it. This is the concrete version of</w:t>
      </w:r>
      <w:r>
        <w:t xml:space="preserve"> </w:t>
      </w:r>
      <w:r>
        <w:t xml:space="preserve">“trigger set by comfort, audited by crash outcome”</w:t>
      </w:r>
      <w:r>
        <w:t xml:space="preserve">, and it directly tests the QUADRARUM</w:t>
      </w:r>
      <w:r>
        <w:t xml:space="preserve"> </w:t>
      </w:r>
      <w:r>
        <w:t xml:space="preserve">document’s ~0.1 s observation on our own ensemble. Effort: moderate — the runner,</w:t>
      </w:r>
      <w:r>
        <w:t xml:space="preserve"> </w:t>
      </w:r>
      <w:r>
        <w:t xml:space="preserve">weights and metrics all exist; the new piece is the intervention injection.</w:t>
      </w:r>
    </w:p>
    <w:bookmarkEnd w:id="13"/>
    <w:bookmarkStart w:id="14" w:name="X3a8a7ada4560a171f4efe3b1e372824b2763121"/>
    <w:p>
      <w:pPr>
        <w:pStyle w:val="Heading2"/>
      </w:pPr>
      <w:r>
        <w:t xml:space="preserve">5 The four questions: answers received 2026-08-27, and what follows</w:t>
      </w:r>
    </w:p>
    <w:p>
      <w:pPr>
        <w:pStyle w:val="FirstParagraph"/>
      </w:pPr>
      <w:r>
        <w:rPr>
          <w:b/>
          <w:bCs/>
        </w:rPr>
        <w:t xml:space="preserve">5.1 Bias: test both, and why I leaned toward shrinkage.</w:t>
      </w:r>
      <w:r>
        <w:t xml:space="preserve"> </w:t>
      </w:r>
      <w:r>
        <w:t xml:space="preserve">Agreed — both variants run</w:t>
      </w:r>
      <w:r>
        <w:t xml:space="preserve"> </w:t>
      </w:r>
      <w:r>
        <w:t xml:space="preserve">in stage A.2 and the data decides. The reasoning behind my lean, as requested. A</w:t>
      </w:r>
      <w:r>
        <w:t xml:space="preserve"> </w:t>
      </w:r>
      <w:r>
        <w:t xml:space="preserve">group-level bias asserts every participant shares one false-alarm propensity; a</w:t>
      </w:r>
      <w:r>
        <w:t xml:space="preserve"> </w:t>
      </w:r>
      <w:r>
        <w:t xml:space="preserve">per-driver unshrunk bias estimates each from ~12 pre-onset trials, where a driver with</w:t>
      </w:r>
      <w:r>
        <w:t xml:space="preserve"> </w:t>
      </w:r>
      <w:r>
        <w:t xml:space="preserve">1 press in 12 gets b = 0.083 largely made of noise. Hierarchical shrinkage is the</w:t>
      </w:r>
      <w:r>
        <w:t xml:space="preserve"> </w:t>
      </w:r>
      <w:r>
        <w:t xml:space="preserve">middle position: each driver’s estimate is pulled toward the group mean in proportion</w:t>
      </w:r>
      <w:r>
        <w:t xml:space="preserve"> </w:t>
      </w:r>
      <w:r>
        <w:t xml:space="preserve">to how little data supports it, so with thin data it</w:t>
      </w:r>
      <w:r>
        <w:t xml:space="preserve"> </w:t>
      </w:r>
      <w:r>
        <w:rPr>
          <w:i/>
          <w:iCs/>
        </w:rPr>
        <w:t xml:space="preserve">behaves</w:t>
      </w:r>
      <w:r>
        <w:t xml:space="preserve"> </w:t>
      </w:r>
      <w:r>
        <w:t xml:space="preserve">like the group model</w:t>
      </w:r>
      <w:r>
        <w:t xml:space="preserve"> </w:t>
      </w:r>
      <w:r>
        <w:t xml:space="preserve">except for genuinely extreme drivers. The reason I think the driver dimension is worth</w:t>
      </w:r>
      <w:r>
        <w:t xml:space="preserve"> </w:t>
      </w:r>
      <w:r>
        <w:t xml:space="preserve">keeping at all is a specific leakage risk: response bias and boundary level are</w:t>
      </w:r>
      <w:r>
        <w:t xml:space="preserve"> </w:t>
      </w:r>
      <w:r>
        <w:t xml:space="preserve">plausibly correlated across people (a trigger-happy participant both false-alarms at C1</w:t>
      </w:r>
      <w:r>
        <w:t xml:space="preserve"> </w:t>
      </w:r>
      <w:r>
        <w:t xml:space="preserve">and crosses early at C5). Under a group-level bias, that person’s excess C1 responses</w:t>
      </w:r>
      <w:r>
        <w:t xml:space="preserve"> </w:t>
      </w:r>
      <w:r>
        <w:t xml:space="preserve">have nowhere to go except</w:t>
      </w:r>
      <w:r>
        <w:t xml:space="preserve"> </w:t>
      </w:r>
      <w:r>
        <w:rPr>
          <w:i/>
          <w:iCs/>
        </w:rPr>
        <w:t xml:space="preserve">into their fitted c_i</w:t>
      </w:r>
      <w:r>
        <w:t xml:space="preserve">, biasing it low — and since the</w:t>
      </w:r>
      <w:r>
        <w:t xml:space="preserve"> </w:t>
      </w:r>
      <w:r>
        <w:t xml:space="preserve">deliverable is a population</w:t>
      </w:r>
      <w:r>
        <w:t xml:space="preserve"> </w:t>
      </w:r>
      <w:r>
        <w:rPr>
          <w:i/>
          <w:iCs/>
        </w:rPr>
        <w:t xml:space="preserve">percentile</w:t>
      </w:r>
      <w:r>
        <w:t xml:space="preserve">, distortion concentrated in the tail people is</w:t>
      </w:r>
      <w:r>
        <w:t xml:space="preserve"> </w:t>
      </w:r>
      <w:r>
        <w:t xml:space="preserve">exactly the distortion that matters. The empirical implications to check when both are</w:t>
      </w:r>
      <w:r>
        <w:t xml:space="preserve"> </w:t>
      </w:r>
      <w:r>
        <w:t xml:space="preserve">run: the group model should show systematic C1 misfit for the extreme participants,</w:t>
      </w:r>
      <w:r>
        <w:t xml:space="preserve"> </w:t>
      </w:r>
      <w:r>
        <w:t xml:space="preserve">and, if the leakage is real, a wider fitted σ_c than the shrinkage model. If neither</w:t>
      </w:r>
      <w:r>
        <w:t xml:space="preserve"> </w:t>
      </w:r>
      <w:r>
        <w:t xml:space="preserve">appears, group-level wins on parsimony and we say so.</w:t>
      </w:r>
    </w:p>
    <w:p>
      <w:pPr>
        <w:pStyle w:val="BodyText"/>
      </w:pPr>
      <w:r>
        <w:rPr>
          <w:b/>
          <w:bCs/>
        </w:rPr>
        <w:t xml:space="preserve">5.2 The braking-expectation question.</w:t>
      </w:r>
      <w:r>
        <w:t xml:space="preserve"> </w:t>
      </w:r>
      <w:r>
        <w:t xml:space="preserve">Per Jonas: treat</w:t>
      </w:r>
      <w:r>
        <w:t xml:space="preserve"> </w:t>
      </w:r>
      <w:r>
        <w:rPr>
          <w:rStyle w:val="VerbatimChar"/>
        </w:rPr>
        <w:t xml:space="preserve">CZB_2</w:t>
      </w:r>
      <w:r>
        <w:t xml:space="preserve"> </w:t>
      </w:r>
      <w:r>
        <w:t xml:space="preserve">as the human</w:t>
      </w:r>
      <w:r>
        <w:t xml:space="preserve"> </w:t>
      </w:r>
      <w:r>
        <w:t xml:space="preserve">decision (own braking) for now; a new dataset framed that way is coming and will</w:t>
      </w:r>
      <w:r>
        <w:t xml:space="preserve"> </w:t>
      </w:r>
      <w:r>
        <w:t xml:space="preserve">supersede this reading. Consequence for stage A: the ordered model still fits two</w:t>
      </w:r>
      <w:r>
        <w:t xml:space="preserve"> </w:t>
      </w:r>
      <w:r>
        <w:t xml:space="preserve">nested levels; only the</w:t>
      </w:r>
      <w:r>
        <w:t xml:space="preserve"> </w:t>
      </w:r>
      <w:r>
        <w:rPr>
          <w:i/>
          <w:iCs/>
        </w:rPr>
        <w:t xml:space="preserve">interpretation</w:t>
      </w:r>
      <w:r>
        <w:t xml:space="preserve"> </w:t>
      </w:r>
      <w:r>
        <w:t xml:space="preserve">of the upper level (dread as</w:t>
      </w:r>
      <w:r>
        <w:t xml:space="preserve"> </w:t>
      </w:r>
      <w:r>
        <w:t xml:space="preserve">“situation</w:t>
      </w:r>
      <w:r>
        <w:t xml:space="preserve"> </w:t>
      </w:r>
      <w:r>
        <w:t xml:space="preserve">demands hard braking”</w:t>
      </w:r>
      <w:r>
        <w:t xml:space="preserve">) is held provisionally rather than asserted, and the write-up</w:t>
      </w:r>
      <w:r>
        <w:t xml:space="preserve"> </w:t>
      </w:r>
      <w:r>
        <w:t xml:space="preserve">should flag it until the new data lands.</w:t>
      </w:r>
    </w:p>
    <w:p>
      <w:pPr>
        <w:pStyle w:val="BodyText"/>
      </w:pPr>
      <w:r>
        <w:rPr>
          <w:b/>
          <w:bCs/>
        </w:rPr>
        <w:t xml:space="preserve">5.3 Motor latency: fixed at 0.25 s, with the rationale.</w:t>
      </w:r>
      <w:r>
        <w:t xml:space="preserve"> </w:t>
      </w:r>
      <w:r>
        <w:t xml:space="preserve">The accumulator models the</w:t>
      </w:r>
      <w:r>
        <w:t xml:space="preserve"> </w:t>
      </w:r>
      <w:r>
        <w:t xml:space="preserve">decision, so λ should cover only post-decision motor execution of a prepared keypress.</w:t>
      </w:r>
      <w:r>
        <w:t xml:space="preserve"> </w:t>
      </w:r>
      <w:r>
        <w:t xml:space="preserve">The chronometric literature conventionally decomposes simple reaction time (~250 ms</w:t>
      </w:r>
      <w:r>
        <w:t xml:space="preserve"> </w:t>
      </w:r>
      <w:r>
        <w:t xml:space="preserve">total for visual stimuli) into premotor and motor components, with the motor</w:t>
      </w:r>
      <w:r>
        <w:t xml:space="preserve"> </w:t>
      </w:r>
      <w:r>
        <w:t xml:space="preserve">(execution) component around 70–100 ms and the remainder perceptual-decisional; since</w:t>
      </w:r>
      <w:r>
        <w:t xml:space="preserve"> </w:t>
      </w:r>
      <w:r>
        <w:t xml:space="preserve">our accumulator absorbs the decisional part but not stimulus-to-cortex transduction,</w:t>
      </w:r>
      <w:r>
        <w:t xml:space="preserve"> </w:t>
      </w:r>
      <w:r>
        <w:t xml:space="preserve">a value between the pure motor component and full simple RT is defensible. I propose</w:t>
      </w:r>
      <w:r>
        <w:t xml:space="preserve"> </w:t>
      </w:r>
      <w:r>
        <w:rPr>
          <w:b/>
          <w:bCs/>
        </w:rPr>
        <w:t xml:space="preserve">λ = 0.25 s, with a sensitivity re-fit at 0.15 and 0.35 s</w:t>
      </w:r>
      <w:r>
        <w:t xml:space="preserve"> </w:t>
      </w:r>
      <w:r>
        <w:t xml:space="preserve">reported alongside — the</w:t>
      </w:r>
      <w:r>
        <w:t xml:space="preserve"> </w:t>
      </w:r>
      <w:r>
        <w:t xml:space="preserve">sensitivity bracket matters more than the point choice, because λ trades one-for-one</w:t>
      </w:r>
      <w:r>
        <w:t xml:space="preserve"> </w:t>
      </w:r>
      <w:r>
        <w:t xml:space="preserve">with the population mean of c and not at all with its spread.</w:t>
      </w:r>
      <w:r>
        <w:t xml:space="preserve"> </w:t>
      </w:r>
      <w:r>
        <w:rPr>
          <w:i/>
          <w:iCs/>
        </w:rPr>
        <w:t xml:space="preserve">(Reference status, per</w:t>
      </w:r>
      <w:r>
        <w:rPr>
          <w:i/>
          <w:iCs/>
        </w:rPr>
        <w:t xml:space="preserve"> </w:t>
      </w:r>
      <w:r>
        <w:rPr>
          <w:i/>
          <w:iCs/>
        </w:rPr>
        <w:t xml:space="preserve">house rules: the 70–100 ms motor-component and ~250 ms simple-RT figures are</w:t>
      </w:r>
      <w:r>
        <w:rPr>
          <w:i/>
          <w:iCs/>
        </w:rPr>
        <w:t xml:space="preserve"> </w:t>
      </w:r>
      <w:r>
        <w:rPr>
          <w:i/>
          <w:iCs/>
        </w:rPr>
        <w:t xml:space="preserve">textbook-level values I have not verified against a source from this machine; they</w:t>
      </w:r>
      <w:r>
        <w:rPr>
          <w:i/>
          <w:iCs/>
        </w:rPr>
        <w:t xml:space="preserve"> </w:t>
      </w:r>
      <w:r>
        <w:rPr>
          <w:i/>
          <w:iCs/>
        </w:rPr>
        <w:t xml:space="preserve">should be cited properly — Luce’s response-time monograph is the standard citation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before any manuscript uses them.)</w:t>
      </w:r>
    </w:p>
    <w:p>
      <w:pPr>
        <w:pStyle w:val="BodyText"/>
      </w:pPr>
      <w:r>
        <w:rPr>
          <w:b/>
          <w:bCs/>
        </w:rPr>
        <w:t xml:space="preserve">5.4 Sequence design: excluded, no simulation.</w:t>
      </w:r>
      <w:r>
        <w:t xml:space="preserve"> </w:t>
      </w:r>
      <w:r>
        <w:t xml:space="preserve">Per Jonas, leaning against; the new</w:t>
      </w:r>
      <w:r>
        <w:t xml:space="preserve"> </w:t>
      </w:r>
      <w:r>
        <w:t xml:space="preserve">data makes it moot. Decision 8 stands unchanged.</w:t>
      </w:r>
    </w:p>
    <w:bookmarkEnd w:id="14"/>
    <w:bookmarkStart w:id="15" w:name="order-of-execution-and-gates"/>
    <w:p>
      <w:pPr>
        <w:pStyle w:val="Heading2"/>
      </w:pPr>
      <w:r>
        <w:t xml:space="preserve">6 Order of execution and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 recovery harness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that the estimator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 hierarchical fit, both bias variants</w:t>
            </w:r>
          </w:p>
        </w:tc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bias model; population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 accumulator</w:t>
            </w:r>
          </w:p>
        </w:tc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claim (a): the time gradient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 button validation</w:t>
            </w:r>
          </w:p>
        </w:tc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paradigm shift; level vs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percentile sensitivity</w:t>
            </w:r>
          </w:p>
        </w:tc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where the real bottleneck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B.1 cyclist field + PS check</w:t>
            </w:r>
          </w:p>
        </w:tc>
        <w:tc>
          <w:tcPr/>
          <w:p>
            <w:pPr>
              <w:pStyle w:val="Compact"/>
            </w:pPr>
            <w:r>
              <w:t xml:space="preserve">— (parallel)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first transfer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B.2–B.3 truck + LTAP fields</w:t>
            </w:r>
          </w:p>
        </w:tc>
        <w:tc>
          <w:tcPr/>
          <w:p>
            <w:pPr>
              <w:pStyle w:val="Compact"/>
            </w:pPr>
            <w:r>
              <w:t xml:space="preserve">— (parallel)</w:t>
            </w:r>
          </w:p>
        </w:tc>
        <w:tc>
          <w:tcPr/>
          <w:p>
            <w:pPr>
              <w:pStyle w:val="Compact"/>
            </w:pPr>
            <w:r>
              <w:t xml:space="preserve">moderate each</w:t>
            </w:r>
          </w:p>
        </w:tc>
        <w:tc>
          <w:tcPr/>
          <w:p>
            <w:pPr>
              <w:pStyle w:val="Compact"/>
            </w:pPr>
            <w:r>
              <w:t xml:space="preserve">transfer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B.4 the transfer test</w:t>
            </w:r>
          </w:p>
        </w:tc>
        <w:tc>
          <w:tcPr/>
          <w:p>
            <w:pPr>
              <w:pStyle w:val="Compact"/>
            </w:pPr>
            <w:r>
              <w:t xml:space="preserve">A.3 + B.1–B.3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(b):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safety audit</w:t>
            </w:r>
          </w:p>
        </w:tc>
        <w:tc>
          <w:tcPr/>
          <w:p>
            <w:pPr>
              <w:pStyle w:val="Compact"/>
            </w:pPr>
            <w:r>
              <w:t xml:space="preserve">A.2, C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comfort-vs-safety divergence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test-track ingestion</w:t>
            </w:r>
          </w:p>
        </w:tc>
        <w:tc>
          <w:tcPr/>
          <w:p>
            <w:pPr>
              <w:pStyle w:val="Compact"/>
            </w:pPr>
            <w:r>
              <w:t xml:space="preserve">Jonas’s data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second population</w:t>
            </w:r>
          </w:p>
        </w:tc>
      </w:tr>
    </w:tbl>
    <w:p>
      <w:pPr>
        <w:pStyle w:val="BodyText"/>
      </w:pPr>
      <w:r>
        <w:t xml:space="preserve">My reading of the critical path: A.1 → A.2 → A.3 is the spine; B field constructions</w:t>
      </w:r>
      <w:r>
        <w:t xml:space="preserve"> </w:t>
      </w:r>
      <w:r>
        <w:t xml:space="preserve">can proceed in parallel sessions; nothing above needs data we do not hold except the</w:t>
      </w:r>
      <w:r>
        <w:t xml:space="preserve"> </w:t>
      </w:r>
      <w:r>
        <w:t xml:space="preserve">last row.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2026-08-27T07:05:22Z</dcterms:created>
  <dcterms:modified xsi:type="dcterms:W3CDTF">2026-08-27T07:05:22Z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