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ee0a2caaf482bb2e12c29e1af6f7e3d06d02622"/>
    <w:p>
      <w:pPr>
        <w:pStyle w:val="Heading1"/>
      </w:pPr>
      <w:r>
        <w:t xml:space="preserve">Making lane entry continuous: the cut-in modification to the preference function</w:t>
      </w:r>
    </w:p>
    <w:p>
      <w:pPr>
        <w:pStyle w:val="FirstParagraph"/>
      </w:pPr>
      <w:r>
        <w:rPr>
          <w:i/>
          <w:iCs/>
        </w:rPr>
        <w:t xml:space="preserve">2026-08-27. This note settles the open design question recorded in handbook chapter 04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“The cut-in’s open problem”</w:t>
      </w:r>
      <w:r>
        <w:rPr>
          <w:i/>
          <w:iCs/>
        </w:rPr>
        <w:t xml:space="preserve">) and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handover_2026-08-26.md</w:t>
      </w:r>
      <w:r>
        <w:rPr>
          <w:i/>
          <w:iCs/>
        </w:rPr>
        <w:t xml:space="preserve"> </w:t>
      </w:r>
      <w:r>
        <w:rPr>
          <w:i/>
          <w:iCs/>
        </w:rPr>
        <w:t xml:space="preserve">section 4: the released</w:t>
      </w:r>
      <w:r>
        <w:rPr>
          <w:i/>
          <w:iCs/>
        </w:rPr>
        <w:t xml:space="preserve"> </w:t>
      </w:r>
      <w:r>
        <w:rPr>
          <w:i/>
          <w:iCs/>
        </w:rPr>
        <w:t xml:space="preserve">preference function gates its conflict terms on binary lane tests, which makes the</w:t>
      </w:r>
      <w:r>
        <w:rPr>
          <w:i/>
          <w:iCs/>
        </w:rPr>
        <w:t xml:space="preserve"> </w:t>
      </w:r>
      <w:r>
        <w:rPr>
          <w:i/>
          <w:iCs/>
        </w:rPr>
        <w:t xml:space="preserve">comfort-zone field a step function through a cut-in. The change argued here is a</w:t>
      </w:r>
      <w:r>
        <w:rPr>
          <w:i/>
          <w:iCs/>
        </w:rPr>
        <w:t xml:space="preserve"> </w:t>
      </w:r>
      <w:r>
        <w:rPr>
          <w:i/>
          <w:iCs/>
        </w:rPr>
        <w:t xml:space="preserve">modification to the authors’ preference function, not a parameter choice, which is why it</w:t>
      </w:r>
      <w:r>
        <w:rPr>
          <w:i/>
          <w:iCs/>
        </w:rPr>
        <w:t xml:space="preserve"> </w:t>
      </w:r>
      <w:r>
        <w:rPr>
          <w:i/>
          <w:iCs/>
        </w:rPr>
        <w:t xml:space="preserve">gets an explicit argument rather than a line in a configuration file. Implementation: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src/aidriver/preferences.py</w:t>
      </w:r>
      <w:r>
        <w:rPr>
          <w:i/>
          <w:iCs/>
        </w:rPr>
        <w:t xml:space="preserve"> </w:t>
      </w:r>
      <w:r>
        <w:rPr>
          <w:i/>
          <w:iCs/>
        </w:rPr>
        <w:t xml:space="preserve">(flags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lane_entry_continuous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counterfactual_residual_severity</w:t>
      </w:r>
      <w:r>
        <w:rPr>
          <w:i/>
          <w:iCs/>
        </w:rPr>
        <w:t xml:space="preserve">, both default off = released behavior);</w:t>
      </w:r>
      <w:r>
        <w:rPr>
          <w:i/>
          <w:iCs/>
        </w:rPr>
        <w:t xml:space="preserve"> </w:t>
      </w:r>
      <w:r>
        <w:rPr>
          <w:i/>
          <w:iCs/>
        </w:rPr>
        <w:t xml:space="preserve">validation: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replication/czb/cutin_field_check.py</w:t>
      </w:r>
      <w:r>
        <w:rPr>
          <w:i/>
          <w:iCs/>
        </w:rPr>
        <w:t xml:space="preserve">.</w:t>
      </w:r>
    </w:p>
    <w:bookmarkStart w:id="9" w:name="summary"/>
    <w:p>
      <w:pPr>
        <w:pStyle w:val="Heading2"/>
      </w:pPr>
      <w:r>
        <w:t xml:space="preserve">0 Summary</w:t>
      </w:r>
    </w:p>
    <w:p>
      <w:pPr>
        <w:pStyle w:val="FirstParagraph"/>
      </w:pPr>
      <w:r>
        <w:t xml:space="preserve">The released preference function cannot express a cut-in: its safety term switches from</w:t>
      </w:r>
      <w:r>
        <w:t xml:space="preserve"> </w:t>
      </w:r>
      <w:r>
        <w:t xml:space="preserve">exactly zero to a saturated constant the instant a binary lane test flips, identically for</w:t>
      </w:r>
      <w:r>
        <w:t xml:space="preserve"> </w:t>
      </w:r>
      <w:r>
        <w:t xml:space="preserve">a cut-in at a 10 m gap and one at 21 m. We replace the binary lane gates with a</w:t>
      </w:r>
      <w:r>
        <w:t xml:space="preserve"> </w:t>
      </w:r>
      <w:r>
        <w:rPr>
          <w:b/>
          <w:bCs/>
        </w:rPr>
        <w:t xml:space="preserve">lateral overlap fraction predicted at the moment of longitudinal closure</w:t>
      </w:r>
      <w:r>
        <w:t xml:space="preserve">, and the</w:t>
      </w:r>
      <w:r>
        <w:t xml:space="preserve"> </w:t>
      </w:r>
      <w:r>
        <w:t xml:space="preserve">saturated safety magnitude with the</w:t>
      </w:r>
      <w:r>
        <w:t xml:space="preserve"> </w:t>
      </w:r>
      <w:r>
        <w:rPr>
          <w:b/>
          <w:bCs/>
        </w:rPr>
        <w:t xml:space="preserve">relative speed that would remain at impact under</w:t>
      </w:r>
      <w:r>
        <w:rPr>
          <w:b/>
          <w:bCs/>
        </w:rPr>
        <w:t xml:space="preserve"> </w:t>
      </w:r>
      <w:r>
        <w:rPr>
          <w:b/>
          <w:bCs/>
        </w:rPr>
        <w:t xml:space="preserve">maximal braking</w:t>
      </w:r>
      <w:r>
        <w:t xml:space="preserve">. Both changes are parameter-free, both reduce exactly to the released</w:t>
      </w:r>
      <w:r>
        <w:t xml:space="preserve"> </w:t>
      </w:r>
      <w:r>
        <w:t xml:space="preserve">forms in every geometry the released scenarios sustain, and together they turn the field</w:t>
      </w:r>
      <w:r>
        <w:t xml:space="preserve"> </w:t>
      </w:r>
      <w:r>
        <w:t xml:space="preserve">along the study’s cut-in clips from one indistinguishable step into graded ramps that are</w:t>
      </w:r>
      <w:r>
        <w:t xml:space="preserve"> </w:t>
      </w:r>
      <w:r>
        <w:t xml:space="preserve">ordered by criticality at every truncation point the human data samples. Our reading is</w:t>
      </w:r>
      <w:r>
        <w:t xml:space="preserve"> </w:t>
      </w:r>
      <w:r>
        <w:t xml:space="preserve">that this is not a departure from the model so much as the closed-form completion of what</w:t>
      </w:r>
      <w:r>
        <w:t xml:space="preserve"> </w:t>
      </w:r>
      <w:r>
        <w:t xml:space="preserve">its closed loop already does; the argument for that reading is section 2.</w:t>
      </w:r>
    </w:p>
    <w:bookmarkEnd w:id="9"/>
    <w:bookmarkStart w:id="10" w:name="the-problem-concretely"/>
    <w:p>
      <w:pPr>
        <w:pStyle w:val="Heading2"/>
      </w:pPr>
      <w:r>
        <w:t xml:space="preserve">1 The problem, concretely</w:t>
      </w:r>
    </w:p>
    <w:p>
      <w:pPr>
        <w:pStyle w:val="FirstParagraph"/>
      </w:pPr>
      <w:r>
        <w:t xml:space="preserve">Running the released preference function over the study’s cut-in stimuli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external/01_studies/</w:t>
      </w:r>
      <w:r>
        <w:t xml:space="preserve">, see</w:t>
      </w:r>
      <w:r>
        <w:t xml:space="preserve"> </w:t>
      </w:r>
      <w:r>
        <w:rPr>
          <w:rStyle w:val="VerbatimChar"/>
        </w:rPr>
        <w:t xml:space="preserve">docs/czb_study1_data_plan.md</w:t>
      </w:r>
      <w:r>
        <w:t xml:space="preserve">) produced the negative result</w:t>
      </w:r>
      <w:r>
        <w:t xml:space="preserve"> </w:t>
      </w:r>
      <w:r>
        <w:t xml:space="preserve">recorded on 2026-08-26: the comfort-zone deficit along a TTC4 clip (10.2 m gap at</w:t>
      </w:r>
      <w:r>
        <w:t xml:space="preserve"> </w:t>
      </w:r>
      <w:r>
        <w:t xml:space="preserve">manoeuvre onset) and a TTC8 clip (21.3 m) are almost identical, and both move as a step.</w:t>
      </w:r>
      <w:r>
        <w:t xml:space="preserve"> </w:t>
      </w:r>
      <w:r>
        <w:t xml:space="preserve">Decomposing the six terms located three causes: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safety term is a binary lane test times a saturated constant.</w:t>
      </w:r>
      <w:r>
        <w:t xml:space="preserve"> </w:t>
      </w:r>
      <w:r>
        <w:t xml:space="preserve">It applies only</w:t>
      </w:r>
      <w:r>
        <w:t xml:space="preserve"> </w:t>
      </w:r>
      <w:r>
        <w:t xml:space="preserve">when the target’s lateral offset satisfies |Δy| ≤ 1.15 w, and then costs</w:t>
      </w:r>
      <w:r>
        <w:t xml:space="preserve"> </w:t>
      </w:r>
      <w:r>
        <w:t xml:space="preserve">0.5 g_C (0.2 + 0.8 Δv/10) whenever the required avoidance deceleration exceeds the</w:t>
      </w:r>
      <w:r>
        <w:t xml:space="preserve"> </w:t>
      </w:r>
      <w:r>
        <w:t xml:space="preserve">ego’s capability. Both cut-ins end under 0.75 s time headway, so both saturate the</w:t>
      </w:r>
      <w:r>
        <w:t xml:space="preserve"> </w:t>
      </w:r>
      <w:r>
        <w:t xml:space="preserve">indicator; the term is exactly 0 before lane entry and exactly −2112 after, for both.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τ⁻¹ preference has no lateral gate at all.</w:t>
      </w:r>
      <w:r>
        <w:t xml:space="preserve"> </w:t>
      </w:r>
      <w:r>
        <w:t xml:space="preserve">Any vehicle</w:t>
      </w:r>
      <w:r>
        <w:t xml:space="preserve"> </w:t>
      </w:r>
      <w:r>
        <w:t xml:space="preserve">“ahead”</w:t>
      </w:r>
      <w:r>
        <w:t xml:space="preserve"> </w:t>
      </w:r>
      <w:r>
        <w:t xml:space="preserve">triggers it,</w:t>
      </w:r>
      <w:r>
        <w:t xml:space="preserve"> </w:t>
      </w:r>
      <w:r>
        <w:t xml:space="preserve">including one a full lane away — a case the released scenarios never expose, since</w:t>
      </w:r>
      <w:r>
        <w:t xml:space="preserve"> </w:t>
      </w:r>
      <w:r>
        <w:t xml:space="preserve">their leads are always in lane. Unmodified, it would charge the ego for merely</w:t>
      </w:r>
      <w:r>
        <w:t xml:space="preserve"> </w:t>
      </w:r>
      <w:r>
        <w:t xml:space="preserve">passing a slower vehicle in the adjacent lane.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desired speed was mis-staged</w:t>
      </w:r>
      <w:r>
        <w:t xml:space="preserve"> </w:t>
      </w:r>
      <w:r>
        <w:t xml:space="preserve">(default 15 m/s against a 30.5 m/s stimulus),</w:t>
      </w:r>
      <w:r>
        <w:t xml:space="preserve"> </w:t>
      </w:r>
      <w:r>
        <w:t xml:space="preserve">putting a constant −483 into every frame. This one is staging, not structure: the</w:t>
      </w:r>
      <w:r>
        <w:t xml:space="preserve"> </w:t>
      </w:r>
      <w:r>
        <w:t xml:space="preserve">released scenarios always set</w:t>
      </w:r>
      <w:r>
        <w:t xml:space="preserve"> </w:t>
      </w:r>
      <w:r>
        <w:rPr>
          <w:rStyle w:val="VerbatimChar"/>
        </w:rPr>
        <w:t xml:space="preserve">v_ego_des</w:t>
      </w:r>
      <w:r>
        <w:t xml:space="preserve"> </w:t>
      </w:r>
      <w:r>
        <w:t xml:space="preserve">to the scenario’s initial speed, and the</w:t>
      </w:r>
      <w:r>
        <w:t xml:space="preserve"> </w:t>
      </w:r>
      <w:r>
        <w:t xml:space="preserve">cut-in evaluation now does the same (</w:t>
      </w:r>
      <w:r>
        <w:rPr>
          <w:rStyle w:val="VerbatimChar"/>
        </w:rPr>
        <w:t xml:space="preserve">cutin_params</w:t>
      </w:r>
      <w:r>
        <w:t xml:space="preserve"> </w:t>
      </w:r>
      <w:r>
        <w:t xml:space="preserve">sets it from the clip).</w:t>
      </w:r>
    </w:p>
    <w:p>
      <w:pPr>
        <w:pStyle w:val="FirstParagraph"/>
      </w:pPr>
      <w:r>
        <w:t xml:space="preserve">A cut-in target straddles the lane boundary for 2.4–2.6 s in the recorded clips. That</w:t>
      </w:r>
      <w:r>
        <w:t xml:space="preserve"> </w:t>
      </w:r>
      <w:r>
        <w:t xml:space="preserve">entire continuum — the part of the event the participant is actually watching when they</w:t>
      </w:r>
      <w:r>
        <w:t xml:space="preserve"> </w:t>
      </w:r>
      <w:r>
        <w:t xml:space="preserve">decide to intervene — is invisible to a binary gate.</w:t>
      </w:r>
    </w:p>
    <w:bookmarkEnd w:id="10"/>
    <w:bookmarkStart w:id="11" w:name="X9e96a69395eb053c59a189ea98766a078768ff8"/>
    <w:p>
      <w:pPr>
        <w:pStyle w:val="Heading2"/>
      </w:pPr>
      <w:r>
        <w:t xml:space="preserve">2 Why changing the preference function is justified, and in what sense it is not a change</w:t>
      </w:r>
    </w:p>
    <w:p>
      <w:pPr>
        <w:pStyle w:val="FirstParagraph"/>
      </w:pPr>
      <w:r>
        <w:t xml:space="preserve">The binary gates are not a defect in the released model. Its three scenarios never</w:t>
      </w:r>
      <w:r>
        <w:t xml:space="preserve"> </w:t>
      </w:r>
      <w:r>
        <w:t xml:space="preserve">sustain a partially-in-lane target: the rear-end lead is always fully in lane, the</w:t>
      </w:r>
      <w:r>
        <w:t xml:space="preserve"> </w:t>
      </w:r>
      <w:r>
        <w:t xml:space="preserve">oncoming and crossing vehicles are lateral or opposing throughout. On that support the</w:t>
      </w:r>
      <w:r>
        <w:t xml:space="preserve"> </w:t>
      </w:r>
      <w:r>
        <w:t xml:space="preserve">binary tests are exact, and nothing in the deposited results depends on what happens in</w:t>
      </w:r>
      <w:r>
        <w:t xml:space="preserve"> </w:t>
      </w:r>
      <w:r>
        <w:t xml:space="preserve">between.</w:t>
      </w:r>
    </w:p>
    <w:p>
      <w:pPr>
        <w:pStyle w:val="BodyText"/>
      </w:pPr>
      <w:r>
        <w:t xml:space="preserve">More importantly, the closed-loop model does not actually respond to lane entry as a</w:t>
      </w:r>
      <w:r>
        <w:t xml:space="preserve"> </w:t>
      </w:r>
      <w:r>
        <w:t xml:space="preserve">step. Its expected free energy is an average over predicted rollouts in which the other</w:t>
      </w:r>
      <w:r>
        <w:t xml:space="preserve"> </w:t>
      </w:r>
      <w:r>
        <w:t xml:space="preserve">vehicle’s steering varies (the</w:t>
      </w:r>
      <w:r>
        <w:t xml:space="preserve"> </w:t>
      </w:r>
      <w:r>
        <w:rPr>
          <w:rStyle w:val="VerbatimChar"/>
        </w:rPr>
        <w:t xml:space="preserve">w_sd_model</w:t>
      </w:r>
      <w:r>
        <w:t xml:space="preserve"> </w:t>
      </w:r>
      <w:r>
        <w:t xml:space="preserve">dial — 0.4575 in the lateral scenarios</w:t>
      </w:r>
      <w:r>
        <w:t xml:space="preserve"> </w:t>
      </w:r>
      <w:r>
        <w:t xml:space="preserve">precisely so that lane changes are futures the driver entertains). A target near the</w:t>
      </w:r>
      <w:r>
        <w:t xml:space="preserve"> </w:t>
      </w:r>
      <w:r>
        <w:t xml:space="preserve">boundary produces some rollouts where it enters and some where it does not, and the</w:t>
      </w:r>
      <w:r>
        <w:t xml:space="preserve"> </w:t>
      </w:r>
      <w:r>
        <w:t xml:space="preserve">averaged conflict cost grades smoothly with how committed the manoeuvre looks. The</w:t>
      </w:r>
      <w:r>
        <w:t xml:space="preserve"> </w:t>
      </w:r>
      <w:r>
        <w:t xml:space="preserve">binary tests inside each rollout become continuous in expectation.</w:t>
      </w:r>
    </w:p>
    <w:p>
      <w:pPr>
        <w:pStyle w:val="BodyText"/>
      </w:pPr>
      <w:r>
        <w:t xml:space="preserve">The comfort-zone field deliberately has no rollouts — evaluating the preference function</w:t>
      </w:r>
      <w:r>
        <w:t xml:space="preserve"> </w:t>
      </w:r>
      <w:r>
        <w:t xml:space="preserve">pointwise on recorded kinematics is what makes the method cheap enough for naturalistic</w:t>
      </w:r>
      <w:r>
        <w:t xml:space="preserve"> </w:t>
      </w:r>
      <w:r>
        <w:t xml:space="preserve">data. So the field must supply in closed form the expectation the closed loop computes by</w:t>
      </w:r>
      <w:r>
        <w:t xml:space="preserve"> </w:t>
      </w:r>
      <w:r>
        <w:t xml:space="preserve">sampling. That is what the two constructions below are: not new preferences, but the</w:t>
      </w:r>
      <w:r>
        <w:t xml:space="preserve"> </w:t>
      </w:r>
      <w:r>
        <w:t xml:space="preserve">marginalization the model already implies, written down. It seems to us this is the right</w:t>
      </w:r>
      <w:r>
        <w:t xml:space="preserve"> </w:t>
      </w:r>
      <w:r>
        <w:t xml:space="preserve">way to read the modification, and it is why we would defend presenting the transfer-test</w:t>
      </w:r>
      <w:r>
        <w:t xml:space="preserve"> </w:t>
      </w:r>
      <w:r>
        <w:t xml:space="preserve">results as results</w:t>
      </w:r>
      <w:r>
        <w:t xml:space="preserve"> </w:t>
      </w:r>
      <w:r>
        <w:rPr>
          <w:i/>
          <w:iCs/>
        </w:rPr>
        <w:t xml:space="preserve">of the model</w:t>
      </w:r>
      <w:r>
        <w:t xml:space="preserve"> </w:t>
      </w:r>
      <w:r>
        <w:t xml:space="preserve">rather than of a variant — though that reading should</w:t>
      </w:r>
      <w:r>
        <w:t xml:space="preserve"> </w:t>
      </w:r>
      <w:r>
        <w:t xml:space="preserve">be argued explicitly in any write-up, and an author of the original might see it</w:t>
      </w:r>
      <w:r>
        <w:t xml:space="preserve"> </w:t>
      </w:r>
      <w:r>
        <w:t xml:space="preserve">differently.</w:t>
      </w:r>
    </w:p>
    <w:bookmarkEnd w:id="11"/>
    <w:bookmarkStart w:id="12" w:name="the-lane-entry-weight"/>
    <w:p>
      <w:pPr>
        <w:pStyle w:val="Heading2"/>
      </w:pPr>
      <w:r>
        <w:t xml:space="preserve">3 The lane-entry weight</w:t>
      </w:r>
    </w:p>
    <w:p>
      <w:pPr>
        <w:pStyle w:val="FirstParagraph"/>
      </w:pPr>
      <w:r>
        <w:rPr>
          <w:b/>
          <w:bCs/>
        </w:rPr>
        <w:t xml:space="preserve">Definition.</w:t>
      </w:r>
      <w:r>
        <w:t xml:space="preserve"> </w:t>
      </w:r>
      <w:r>
        <w:t xml:space="preserve">P_lane ∈ [0, 1] is the lateral overlap fraction predicted at the moment</w:t>
      </w:r>
      <w:r>
        <w:t xml:space="preserve"> </w:t>
      </w:r>
      <w:r>
        <w:t xml:space="preserve">of longitudinal closure:</w:t>
      </w:r>
    </w:p>
    <w:p>
      <w:pPr>
        <w:pStyle w:val="BlockText"/>
      </w:pPr>
      <w:r>
        <w:t xml:space="preserve">|Δy|_pred = max( |Δy| − max(lateral closing rate, 0) · τ_lon, 0 )</w:t>
      </w:r>
    </w:p>
    <w:p>
      <w:pPr>
        <w:pStyle w:val="BlockText"/>
      </w:pPr>
      <w:r>
        <w:t xml:space="preserve">P_lane = clip( (s − |Δy|_pred) / (1.15 · min(w_e, w_o)), 0, 1 ), s = 1.15 (w_e + w_o)/2</w:t>
      </w:r>
    </w:p>
    <w:p>
      <w:pPr>
        <w:pStyle w:val="FirstParagraph"/>
      </w:pPr>
      <w:r>
        <w:t xml:space="preserve">where w_e and w_o are the two vehicles’ widths, τ_lon is the longitudinal</w:t>
      </w:r>
      <w:r>
        <w:t xml:space="preserve"> </w:t>
      </w:r>
      <w:r>
        <w:t xml:space="preserve">time-to-collision, and 1.15 is the released code’s own inflation factor. The lateral</w:t>
      </w:r>
      <w:r>
        <w:t xml:space="preserve"> </w:t>
      </w:r>
      <w:r>
        <w:t xml:space="preserve">offset is projected forward at the current lateral closing rate over τ_lon, clamped at</w:t>
      </w:r>
      <w:r>
        <w:t xml:space="preserve"> </w:t>
      </w:r>
      <w:r>
        <w:t xml:space="preserve">perfect centering — a lane-changing target aims into the lane, not through it — and the</w:t>
      </w:r>
      <w:r>
        <w:t xml:space="preserve"> </w:t>
      </w:r>
      <w:r>
        <w:t xml:space="preserve">overlap of the two width intervals at that predicted offset, as a fraction of the</w:t>
      </w:r>
      <w:r>
        <w:t xml:space="preserve"> </w:t>
      </w:r>
      <w:r>
        <w:t xml:space="preserve">narrower width, is the weight.</w:t>
      </w:r>
    </w:p>
    <w:p>
      <w:pPr>
        <w:pStyle w:val="BodyText"/>
      </w:pPr>
      <w:r>
        <w:rPr>
          <w:b/>
          <w:bCs/>
        </w:rPr>
        <w:t xml:space="preserve">Why predicted at closure rather than measured now.</w:t>
      </w:r>
      <w:r>
        <w:t xml:space="preserve"> </w:t>
      </w:r>
      <w:r>
        <w:t xml:space="preserve">A collision requires lateral</w:t>
      </w:r>
      <w:r>
        <w:t xml:space="preserve"> </w:t>
      </w:r>
      <w:r>
        <w:t xml:space="preserve">overlap to have begun by the time the longitudinal gap closes. The overlap that matters</w:t>
      </w:r>
      <w:r>
        <w:t xml:space="preserve"> </w:t>
      </w:r>
      <w:r>
        <w:t xml:space="preserve">is therefore the one at closure, not the one at present; the present overlap is the</w:t>
      </w:r>
      <w:r>
        <w:t xml:space="preserve"> </w:t>
      </w:r>
      <w:r>
        <w:t xml:space="preserve">τ_lon → 0 special case, and the formula contains it. This is also where the comparison</w:t>
      </w:r>
      <w:r>
        <w:t xml:space="preserve"> </w:t>
      </w:r>
      <w:r>
        <w:t xml:space="preserve">Jonas proposed — predicted time-to-in-lane against longitudinal TTC — lives inside the</w:t>
      </w:r>
      <w:r>
        <w:t xml:space="preserve"> </w:t>
      </w:r>
      <w:r>
        <w:t xml:space="preserve">construction: projecting by the closing rate over τ_lon is exactly that comparison,</w:t>
      </w:r>
      <w:r>
        <w:t xml:space="preserve"> </w:t>
      </w:r>
      <w:r>
        <w:t xml:space="preserve">expressed as an overlap rather than as a time difference.</w:t>
      </w:r>
    </w:p>
    <w:p>
      <w:pPr>
        <w:pStyle w:val="BodyText"/>
      </w:pPr>
      <w:r>
        <w:rPr>
          <w:b/>
          <w:bCs/>
        </w:rPr>
        <w:t xml:space="preserve">Why lane-change duration is the wrong variable</w:t>
      </w:r>
      <w:r>
        <w:t xml:space="preserve">, consistent with the QUADRARUM</w:t>
      </w:r>
      <w:r>
        <w:t xml:space="preserve"> </w:t>
      </w:r>
      <w:r>
        <w:t xml:space="preserve">group’s finding that duration did not predict: duration is a property of the manoeuvre in</w:t>
      </w:r>
      <w:r>
        <w:t xml:space="preserve"> </w:t>
      </w:r>
      <w:r>
        <w:t xml:space="preserve">isolation. What the driver is exposed to is the lateral closing rate</w:t>
      </w:r>
      <w:r>
        <w:t xml:space="preserve"> </w:t>
      </w:r>
      <w:r>
        <w:rPr>
          <w:i/>
          <w:iCs/>
        </w:rPr>
        <w:t xml:space="preserve">relative to</w:t>
      </w:r>
      <w:r>
        <w:t xml:space="preserve"> </w:t>
      </w:r>
      <w:r>
        <w:t xml:space="preserve">the</w:t>
      </w:r>
      <w:r>
        <w:t xml:space="preserve"> </w:t>
      </w:r>
      <w:r>
        <w:t xml:space="preserve">longitudinal one — a slow lane change into a large gap and a fast one into a small gap</w:t>
      </w:r>
      <w:r>
        <w:t xml:space="preserve"> </w:t>
      </w:r>
      <w:r>
        <w:t xml:space="preserve">can share a duration and pose entirely different problems. P_lane depends on the rates,</w:t>
      </w:r>
      <w:r>
        <w:t xml:space="preserve"> </w:t>
      </w:r>
      <w:r>
        <w:t xml:space="preserve">not the duration.</w:t>
      </w:r>
    </w:p>
    <w:p>
      <w:pPr>
        <w:pStyle w:val="BodyText"/>
      </w:pPr>
      <w:r>
        <w:rPr>
          <w:b/>
          <w:bCs/>
        </w:rPr>
        <w:t xml:space="preserve">Properties.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Parameter-free.</w:t>
      </w:r>
      <w:r>
        <w:t xml:space="preserve"> </w:t>
      </w:r>
      <w:r>
        <w:t xml:space="preserve">Widths, the 1.15 factor, and two kinematic rates the traces supply.</w:t>
      </w:r>
      <w:r>
        <w:t xml:space="preserve"> </w:t>
      </w:r>
      <w:r>
        <w:t xml:space="preserve">Nothing is fitted.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Reduces to the released gates.</w:t>
      </w:r>
      <w:r>
        <w:t xml:space="preserve"> </w:t>
      </w:r>
      <w:r>
        <w:t xml:space="preserve">A target centered in lane gives exactly 1; a target in</w:t>
      </w:r>
      <w:r>
        <w:t xml:space="preserve"> </w:t>
      </w:r>
      <w:r>
        <w:t xml:space="preserve">the adjacent lane with no lateral motion gives exactly 0, however hard the ego closes</w:t>
      </w:r>
      <w:r>
        <w:t xml:space="preserve"> </w:t>
      </w:r>
      <w:r>
        <w:t xml:space="preserve">on it; the overlap-onset threshold coincides with the released box’s 1.15 w for equal</w:t>
      </w:r>
      <w:r>
        <w:t xml:space="preserve"> </w:t>
      </w:r>
      <w:r>
        <w:t xml:space="preserve">widths. Every geometry the released scenarios sustain is one of these cases.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Continuous.</w:t>
      </w:r>
      <w:r>
        <w:t xml:space="preserve"> </w:t>
      </w:r>
      <w:r>
        <w:t xml:space="preserve">In every argument, verified on a fine grid (</w:t>
      </w:r>
      <w:r>
        <w:rPr>
          <w:rStyle w:val="VerbatimChar"/>
        </w:rPr>
        <w:t xml:space="preserve">tests/test_cutin.py</w:t>
      </w:r>
      <w:r>
        <w:t xml:space="preserve">). The</w:t>
      </w:r>
      <w:r>
        <w:t xml:space="preserve"> </w:t>
      </w:r>
      <w:r>
        <w:t xml:space="preserve">one exception — τ_lon jumping to infinity as longitudinal closing stops — multiplies</w:t>
      </w:r>
      <w:r>
        <w:t xml:space="preserve"> </w:t>
      </w:r>
      <w:r>
        <w:t xml:space="preserve">terms that are zero there.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Weights both conflict terms.</w:t>
      </w:r>
      <w:r>
        <w:t xml:space="preserve"> </w:t>
      </w:r>
      <w:r>
        <w:t xml:space="preserve">p_safe is multiplied by P_lane, and so is the τ⁻¹</w:t>
      </w:r>
      <w:r>
        <w:t xml:space="preserve"> </w:t>
      </w:r>
      <w:r>
        <w:t xml:space="preserve">excess inside p_coll, which fixes cause 2 of section 1: passing an adjacent-lane</w:t>
      </w:r>
      <w:r>
        <w:t xml:space="preserve"> </w:t>
      </w:r>
      <w:r>
        <w:t xml:space="preserve">vehicle costs nothing until the manoeuvre makes overlap at closure credible.</w:t>
      </w:r>
    </w:p>
    <w:p>
      <w:pPr>
        <w:pStyle w:val="FirstParagraph"/>
      </w:pPr>
      <w:r>
        <w:rPr>
          <w:b/>
          <w:bCs/>
        </w:rPr>
        <w:t xml:space="preserve">A discarded intermediate.</w:t>
      </w:r>
      <w:r>
        <w:t xml:space="preserve"> </w:t>
      </w:r>
      <w:r>
        <w:t xml:space="preserve">A first construction combined the instantaneous overlap</w:t>
      </w:r>
      <w:r>
        <w:t xml:space="preserve"> </w:t>
      </w:r>
      <w:r>
        <w:t xml:space="preserve">with a separate anticipation factor via a maximum. It was discontinuous at overlap onset</w:t>
      </w:r>
      <w:r>
        <w:t xml:space="preserve"> </w:t>
      </w:r>
      <w:r>
        <w:t xml:space="preserve">(the anticipation factor saturates the instant overlap begins, while the instantaneous</w:t>
      </w:r>
      <w:r>
        <w:t xml:space="preserve"> </w:t>
      </w:r>
      <w:r>
        <w:t xml:space="preserve">fraction starts at zero) and was caught by the continuity property test. Recorded because</w:t>
      </w:r>
      <w:r>
        <w:t xml:space="preserve"> </w:t>
      </w:r>
      <w:r>
        <w:t xml:space="preserve">the failure mode — two semantics spliced with max() — seems easy to reinvent.</w:t>
      </w:r>
    </w:p>
    <w:bookmarkEnd w:id="12"/>
    <w:bookmarkStart w:id="13" w:name="the-counterfactual-residual-severity"/>
    <w:p>
      <w:pPr>
        <w:pStyle w:val="Heading2"/>
      </w:pPr>
      <w:r>
        <w:t xml:space="preserve">4 The counterfactual residual severity</w:t>
      </w:r>
    </w:p>
    <w:p>
      <w:pPr>
        <w:pStyle w:val="FirstParagraph"/>
      </w:pPr>
      <w:r>
        <w:t xml:space="preserve">Continuity in the lateral direction is not enough: with the lane gate continuous, TTC4</w:t>
      </w:r>
      <w:r>
        <w:t xml:space="preserve"> </w:t>
      </w:r>
      <w:r>
        <w:t xml:space="preserve">and TTC8 still saturate to the same penalty, because the safety term’s magnitude is a</w:t>
      </w:r>
      <w:r>
        <w:t xml:space="preserve"> </w:t>
      </w:r>
      <w:r>
        <w:t xml:space="preserve">step in the longitudinal state as well. The released magnitude is</w:t>
      </w:r>
      <w:r>
        <w:t xml:space="preserve"> </w:t>
      </w:r>
      <w:r>
        <w:t xml:space="preserve">0.5 g_C (0.2 + 0.8 Δv/10) with Δv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relative speed — the same for a cut-in at</w:t>
      </w:r>
      <w:r>
        <w:t xml:space="preserve"> </w:t>
      </w:r>
      <w:r>
        <w:t xml:space="preserve">10 m and at 21 m — applied whenever the required deceleration exceeds a_max.</w:t>
      </w:r>
    </w:p>
    <w:p>
      <w:pPr>
        <w:pStyle w:val="BodyText"/>
      </w:pPr>
      <w:r>
        <w:t xml:space="preserve">The replacement grades by how unavoidable the counterfactual crash actually is:</w:t>
      </w:r>
    </w:p>
    <w:p>
      <w:pPr>
        <w:pStyle w:val="BlockText"/>
      </w:pPr>
      <w:r>
        <w:t xml:space="preserve">Δv_resid = sqrt( max(0, v_react² − 2 a_max d_avail) )</w:t>
      </w:r>
    </w:p>
    <w:p>
      <w:pPr>
        <w:pStyle w:val="BlockText"/>
      </w:pPr>
      <w:r>
        <w:t xml:space="preserve">p_safe = P_lane · 0.5 g_C · 0.8 Δv_resid / 10</w:t>
      </w:r>
    </w:p>
    <w:p>
      <w:pPr>
        <w:pStyle w:val="FirstParagraph"/>
      </w:pPr>
      <w:r>
        <w:t xml:space="preserve">with v_react and d_avail exactly as in the released required-deceleration construction</w:t>
      </w:r>
      <w:r>
        <w:t xml:space="preserve"> </w:t>
      </w:r>
      <w:r>
        <w:t xml:space="preserve">(SI Eq. 51). Δv_resid is the relative speed that would remain at impact if the ego braked</w:t>
      </w:r>
      <w:r>
        <w:t xml:space="preserve"> </w:t>
      </w:r>
      <w:r>
        <w:t xml:space="preserve">at its full capability after its reaction time, against the worst-case lead. It is zero</w:t>
      </w:r>
      <w:r>
        <w:t xml:space="preserve"> </w:t>
      </w:r>
      <w:r>
        <w:t xml:space="preserve">precisely where a_req ≥ −a_max —</w:t>
      </w:r>
      <w:r>
        <w:t xml:space="preserve"> </w:t>
      </w:r>
      <w:r>
        <w:rPr>
          <w:b/>
          <w:bCs/>
        </w:rPr>
        <w:t xml:space="preserve">the term still switches on exactly at the model’s own</w:t>
      </w:r>
      <w:r>
        <w:rPr>
          <w:b/>
          <w:bCs/>
        </w:rPr>
        <w:t xml:space="preserve"> </w:t>
      </w:r>
      <w:r>
        <w:rPr>
          <w:b/>
          <w:bCs/>
        </w:rPr>
        <w:t xml:space="preserve">comfort-zone boundary; only the cliff beyond it becomes a ramp</w:t>
      </w:r>
      <w:r>
        <w:t xml:space="preserve"> </w:t>
      </w:r>
      <w:r>
        <w:t xml:space="preserve">— and it grows</w:t>
      </w:r>
      <w:r>
        <w:t xml:space="preserve"> </w:t>
      </w:r>
      <w:r>
        <w:t xml:space="preserve">continuously to v_react as the gap disappears.</w:t>
      </w:r>
    </w:p>
    <w:p>
      <w:pPr>
        <w:pStyle w:val="BodyText"/>
      </w:pPr>
      <w:r>
        <w:t xml:space="preserve">Two remarks on what is dropped. The current-Δv severity factor is dropped because in the</w:t>
      </w:r>
      <w:r>
        <w:t xml:space="preserve"> </w:t>
      </w:r>
      <w:r>
        <w:t xml:space="preserve">counterfactual the lead has braked to a stop, so the relevant impact speed is the ego’s</w:t>
      </w:r>
      <w:r>
        <w:t xml:space="preserve"> </w:t>
      </w:r>
      <w:r>
        <w:t xml:space="preserve">residual speed, which Δv_resid is; using the present-moment Δv was, as we read it, a</w:t>
      </w:r>
      <w:r>
        <w:t xml:space="preserve"> </w:t>
      </w:r>
      <w:r>
        <w:t xml:space="preserve">reuse of the collision term’s severity for convenience rather than a modeled choice. The</w:t>
      </w:r>
      <w:r>
        <w:t xml:space="preserve"> </w:t>
      </w:r>
      <w:r>
        <w:t xml:space="preserve">0.2 severity</w:t>
      </w:r>
      <w:r>
        <w:t xml:space="preserve"> </w:t>
      </w:r>
      <w:r>
        <w:rPr>
          <w:i/>
          <w:iCs/>
        </w:rPr>
        <w:t xml:space="preserve">floor</w:t>
      </w:r>
      <w:r>
        <w:t xml:space="preserve"> </w:t>
      </w:r>
      <w:r>
        <w:t xml:space="preserve">is dropped because its purpose is to keep gentle real collisions</w:t>
      </w:r>
      <w:r>
        <w:t xml:space="preserve"> </w:t>
      </w:r>
      <w:r>
        <w:t xml:space="preserve">from being cheap (p_coll keeps it); in a counterfactual, Δv_resid → 0 means the crash is</w:t>
      </w:r>
      <w:r>
        <w:t xml:space="preserve"> </w:t>
      </w:r>
      <w:r>
        <w:t xml:space="preserve">exactly avoidable and the penalty should genuinely vanish — keeping the floor would</w:t>
      </w:r>
      <w:r>
        <w:t xml:space="preserve"> </w:t>
      </w:r>
      <w:r>
        <w:t xml:space="preserve">preserve a step of 0.1 g_C at the boundary, which is the pathology being removed.</w:t>
      </w:r>
    </w:p>
    <w:p>
      <w:pPr>
        <w:pStyle w:val="BodyText"/>
      </w:pPr>
      <w:r>
        <w:t xml:space="preserve">On the study’s stimuli the discrimination this buys is large: at 1.5 s after manoeuvre</w:t>
      </w:r>
      <w:r>
        <w:t xml:space="preserve"> </w:t>
      </w:r>
      <w:r>
        <w:t xml:space="preserve">onset, Δv_resid is 17.2 m/s for the TTC4 cut-in against 11.0 m/s for TTC8, giving safety</w:t>
      </w:r>
      <w:r>
        <w:t xml:space="preserve"> </w:t>
      </w:r>
      <w:r>
        <w:t xml:space="preserve">terms of −6894 and −4381 where the released form gives −2112 for both.</w:t>
      </w:r>
    </w:p>
    <w:bookmarkEnd w:id="13"/>
    <w:bookmarkStart w:id="14" w:name="X116e46d520aed1dd109bad3a344c73b766ca645"/>
    <w:p>
      <w:pPr>
        <w:pStyle w:val="Heading2"/>
      </w:pPr>
      <w:r>
        <w:t xml:space="preserve">5 What the field now looks like on the study’s stimuli</w:t>
      </w:r>
    </w:p>
    <w:p>
      <w:pPr>
        <w:pStyle w:val="FirstParagraph"/>
      </w:pPr>
      <w:r>
        <w:rPr>
          <w:rStyle w:val="VerbatimChar"/>
        </w:rPr>
        <w:t xml:space="preserve">replication/czb/cutin_field_check.py</w:t>
      </w:r>
      <w:r>
        <w:t xml:space="preserve"> </w:t>
      </w:r>
      <w:r>
        <w:t xml:space="preserve">runs both configurations over all twelve cut-in</w:t>
      </w:r>
      <w:r>
        <w:t xml:space="preserve"> </w:t>
      </w:r>
      <w:r>
        <w:t xml:space="preserve">stimuli; the figure is</w:t>
      </w:r>
      <w:r>
        <w:t xml:space="preserve"> </w:t>
      </w:r>
      <w:r>
        <w:rPr>
          <w:rStyle w:val="VerbatimChar"/>
        </w:rPr>
        <w:t xml:space="preserve">figures/cutin_field_check.png</w:t>
      </w:r>
      <w:r>
        <w:t xml:space="preserve">.</w:t>
      </w:r>
    </w:p>
    <w:p>
      <w:pPr>
        <w:pStyle w:val="BodyText"/>
      </w:pPr>
      <w:r>
        <w:t xml:space="preserve">With the released binary forms and default staging: a constant −483 floor (the mis-staged</w:t>
      </w:r>
      <w:r>
        <w:t xml:space="preserve"> </w:t>
      </w:r>
      <w:r>
        <w:t xml:space="preserve">speed term), a single step near lane entry, and no ordering by criticality. With the</w:t>
      </w:r>
      <w:r>
        <w:t xml:space="preserve"> </w:t>
      </w:r>
      <w:r>
        <w:t xml:space="preserve">continuous forms and clip staging:</w:t>
      </w:r>
    </w:p>
    <w:p>
      <w:pPr>
        <w:pStyle w:val="Compact"/>
        <w:numPr>
          <w:ilvl w:val="0"/>
          <w:numId w:val="1003"/>
        </w:numPr>
      </w:pPr>
      <w:r>
        <w:t xml:space="preserve">the deficit is exactly zero before manoeuvre onset in every clip — so the pre-onset C1</w:t>
      </w:r>
      <w:r>
        <w:t xml:space="preserve"> </w:t>
      </w:r>
      <w:r>
        <w:t xml:space="preserve">condition is predicted to elicit no crossing, and any C1 response is response bias,</w:t>
      </w:r>
      <w:r>
        <w:t xml:space="preserve"> </w:t>
      </w:r>
      <w:r>
        <w:t xml:space="preserve">which is what the study design uses C1 for;</w:t>
      </w:r>
    </w:p>
    <w:p>
      <w:pPr>
        <w:pStyle w:val="Compact"/>
        <w:numPr>
          <w:ilvl w:val="0"/>
          <w:numId w:val="1003"/>
        </w:numPr>
      </w:pPr>
      <w:r>
        <w:t xml:space="preserve">the deficit is</w:t>
      </w:r>
      <w:r>
        <w:t xml:space="preserve"> </w:t>
      </w:r>
      <w:r>
        <w:rPr>
          <w:b/>
          <w:bCs/>
        </w:rPr>
        <w:t xml:space="preserve">ordered by criticality at every truncation point C2–C6</w:t>
      </w:r>
      <w:r>
        <w:t xml:space="preserve"> </w:t>
      </w:r>
      <w:r>
        <w:t xml:space="preserve">the</w:t>
      </w:r>
      <w:r>
        <w:t xml:space="preserve"> </w:t>
      </w:r>
      <w:r>
        <w:t xml:space="preserve">fixed-clip design samples, for the car family (TTC4 ≥ TTC5 ≥ … ≥ TTC8) and the truck</w:t>
      </w:r>
      <w:r>
        <w:t xml:space="preserve"> </w:t>
      </w:r>
      <w:r>
        <w:t xml:space="preserve">family alike;</w:t>
      </w:r>
    </w:p>
    <w:p>
      <w:pPr>
        <w:pStyle w:val="Compact"/>
        <w:numPr>
          <w:ilvl w:val="0"/>
          <w:numId w:val="1003"/>
        </w:numPr>
      </w:pPr>
      <w:r>
        <w:t xml:space="preserve">within the response window the field is a ramp (largest single-frame change a fraction</w:t>
      </w:r>
      <w:r>
        <w:t xml:space="preserve"> </w:t>
      </w:r>
      <w:r>
        <w:t xml:space="preserve">of the level), so a threshold placed anywhere in it produces a crossing time that moves</w:t>
      </w:r>
      <w:r>
        <w:t xml:space="preserve"> </w:t>
      </w:r>
      <w:r>
        <w:t xml:space="preserve">with the threshold — which is the property level-set fitting needs and the step</w:t>
      </w:r>
      <w:r>
        <w:t xml:space="preserve"> </w:t>
      </w:r>
      <w:r>
        <w:t xml:space="preserve">destroyed. The remaining large jump in each trace is the real collision at the end of</w:t>
      </w:r>
      <w:r>
        <w:t xml:space="preserve"> </w:t>
      </w:r>
      <w:r>
        <w:t xml:space="preserve">the recording, outside the response window.</w:t>
      </w:r>
    </w:p>
    <w:p>
      <w:pPr>
        <w:pStyle w:val="FirstParagraph"/>
      </w:pPr>
      <w:r>
        <w:t xml:space="preserve">Deficits at the six truncation points, car family (continuous forms):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stimulus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C6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TTC4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6192</w:t>
            </w:r>
          </w:p>
        </w:tc>
        <w:tc>
          <w:tcPr/>
          <w:p>
            <w:pPr>
              <w:pStyle w:val="Compact"/>
            </w:pPr>
            <w:r>
              <w:t xml:space="preserve">6404</w:t>
            </w:r>
          </w:p>
        </w:tc>
        <w:tc>
          <w:tcPr/>
          <w:p>
            <w:pPr>
              <w:pStyle w:val="Compact"/>
            </w:pPr>
            <w:r>
              <w:t xml:space="preserve">6575</w:t>
            </w:r>
          </w:p>
        </w:tc>
        <w:tc>
          <w:tcPr/>
          <w:p>
            <w:pPr>
              <w:pStyle w:val="Compact"/>
            </w:pPr>
            <w:r>
              <w:t xml:space="preserve">6733</w:t>
            </w:r>
          </w:p>
        </w:tc>
        <w:tc>
          <w:tcPr/>
          <w:p>
            <w:pPr>
              <w:pStyle w:val="Compact"/>
            </w:pPr>
            <w:r>
              <w:t xml:space="preserve">6895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TTC5</w:t>
            </w:r>
          </w:p>
        </w:tc>
        <w:tc>
          <w:tcPr/>
          <w:p>
            <w:pPr>
              <w:pStyle w:val="Compact"/>
            </w:pPr>
            <w:r>
              <w:t xml:space="preserve">1082</w:t>
            </w:r>
          </w:p>
        </w:tc>
        <w:tc>
          <w:tcPr/>
          <w:p>
            <w:pPr>
              <w:pStyle w:val="Compact"/>
            </w:pPr>
            <w:r>
              <w:t xml:space="preserve">5632</w:t>
            </w:r>
          </w:p>
        </w:tc>
        <w:tc>
          <w:tcPr/>
          <w:p>
            <w:pPr>
              <w:pStyle w:val="Compact"/>
            </w:pPr>
            <w:r>
              <w:t xml:space="preserve">5821</w:t>
            </w:r>
          </w:p>
        </w:tc>
        <w:tc>
          <w:tcPr/>
          <w:p>
            <w:pPr>
              <w:pStyle w:val="Compact"/>
            </w:pPr>
            <w:r>
              <w:t xml:space="preserve">5999</w:t>
            </w:r>
          </w:p>
        </w:tc>
        <w:tc>
          <w:tcPr/>
          <w:p>
            <w:pPr>
              <w:pStyle w:val="Compact"/>
            </w:pPr>
            <w:r>
              <w:t xml:space="preserve">6178</w:t>
            </w:r>
          </w:p>
        </w:tc>
        <w:tc>
          <w:tcPr/>
          <w:p>
            <w:pPr>
              <w:pStyle w:val="Compact"/>
            </w:pPr>
            <w:r>
              <w:t xml:space="preserve">6354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TTC6</w:t>
            </w:r>
          </w:p>
        </w:tc>
        <w:tc>
          <w:tcPr/>
          <w:p>
            <w:pPr>
              <w:pStyle w:val="Compact"/>
            </w:pPr>
            <w:r>
              <w:t xml:space="preserve">1207</w:t>
            </w:r>
          </w:p>
        </w:tc>
        <w:tc>
          <w:tcPr/>
          <w:p>
            <w:pPr>
              <w:pStyle w:val="Compact"/>
            </w:pPr>
            <w:r>
              <w:t xml:space="preserve">4949</w:t>
            </w:r>
          </w:p>
        </w:tc>
        <w:tc>
          <w:tcPr/>
          <w:p>
            <w:pPr>
              <w:pStyle w:val="Compact"/>
            </w:pPr>
            <w:r>
              <w:t xml:space="preserve">5159</w:t>
            </w:r>
          </w:p>
        </w:tc>
        <w:tc>
          <w:tcPr/>
          <w:p>
            <w:pPr>
              <w:pStyle w:val="Compact"/>
            </w:pPr>
            <w:r>
              <w:t xml:space="preserve">5436</w:t>
            </w:r>
          </w:p>
        </w:tc>
        <w:tc>
          <w:tcPr/>
          <w:p>
            <w:pPr>
              <w:pStyle w:val="Compact"/>
            </w:pPr>
            <w:r>
              <w:t xml:space="preserve">5568</w:t>
            </w:r>
          </w:p>
        </w:tc>
        <w:tc>
          <w:tcPr/>
          <w:p>
            <w:pPr>
              <w:pStyle w:val="Compact"/>
            </w:pPr>
            <w:r>
              <w:t xml:space="preserve">5754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TTC7</w:t>
            </w:r>
          </w:p>
        </w:tc>
        <w:tc>
          <w:tcPr/>
          <w:p>
            <w:pPr>
              <w:pStyle w:val="Compact"/>
            </w:pPr>
            <w:r>
              <w:t xml:space="preserve">1399</w:t>
            </w:r>
          </w:p>
        </w:tc>
        <w:tc>
          <w:tcPr/>
          <w:p>
            <w:pPr>
              <w:pStyle w:val="Compact"/>
            </w:pPr>
            <w:r>
              <w:t xml:space="preserve">4058</w:t>
            </w:r>
          </w:p>
        </w:tc>
        <w:tc>
          <w:tcPr/>
          <w:p>
            <w:pPr>
              <w:pStyle w:val="Compact"/>
            </w:pPr>
            <w:r>
              <w:t xml:space="preserve">4322</w:t>
            </w:r>
          </w:p>
        </w:tc>
        <w:tc>
          <w:tcPr/>
          <w:p>
            <w:pPr>
              <w:pStyle w:val="Compact"/>
            </w:pPr>
            <w:r>
              <w:t xml:space="preserve">4556</w:t>
            </w:r>
          </w:p>
        </w:tc>
        <w:tc>
          <w:tcPr/>
          <w:p>
            <w:pPr>
              <w:pStyle w:val="Compact"/>
            </w:pPr>
            <w:r>
              <w:t xml:space="preserve">4797</w:t>
            </w:r>
          </w:p>
        </w:tc>
        <w:tc>
          <w:tcPr/>
          <w:p>
            <w:pPr>
              <w:pStyle w:val="Compact"/>
            </w:pPr>
            <w:r>
              <w:t xml:space="preserve">5018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TTC8</w:t>
            </w:r>
          </w:p>
        </w:tc>
        <w:tc>
          <w:tcPr/>
          <w:p>
            <w:pPr>
              <w:pStyle w:val="Compact"/>
            </w:pPr>
            <w:r>
              <w:t xml:space="preserve">2126</w:t>
            </w:r>
          </w:p>
        </w:tc>
        <w:tc>
          <w:tcPr/>
          <w:p>
            <w:pPr>
              <w:pStyle w:val="Compact"/>
            </w:pPr>
            <w:r>
              <w:t xml:space="preserve">3229</w:t>
            </w:r>
          </w:p>
        </w:tc>
        <w:tc>
          <w:tcPr/>
          <w:p>
            <w:pPr>
              <w:pStyle w:val="Compact"/>
            </w:pPr>
            <w:r>
              <w:t xml:space="preserve">3550</w:t>
            </w:r>
          </w:p>
        </w:tc>
        <w:tc>
          <w:tcPr/>
          <w:p>
            <w:pPr>
              <w:pStyle w:val="Compact"/>
            </w:pPr>
            <w:r>
              <w:t xml:space="preserve">3848</w:t>
            </w:r>
          </w:p>
        </w:tc>
        <w:tc>
          <w:tcPr/>
          <w:p>
            <w:pPr>
              <w:pStyle w:val="Compact"/>
            </w:pPr>
            <w:r>
              <w:t xml:space="preserve">4122</w:t>
            </w:r>
          </w:p>
        </w:tc>
        <w:tc>
          <w:tcPr/>
          <w:p>
            <w:pPr>
              <w:pStyle w:val="Compact"/>
            </w:pPr>
            <w:r>
              <w:t xml:space="preserve">4381</w:t>
            </w:r>
          </w:p>
        </w:tc>
      </w:tr>
    </w:tbl>
    <w:p>
      <w:pPr>
        <w:pStyle w:val="BodyText"/>
      </w:pPr>
      <w:r>
        <w:t xml:space="preserve">(The C1 column is evaluated exactly at onset, where the anticipation term rises earlier</w:t>
      </w:r>
      <w:r>
        <w:t xml:space="preserve"> </w:t>
      </w:r>
      <w:r>
        <w:t xml:space="preserve">for the milder clips — their longer τ_lon projects the entry further ahead — while the</w:t>
      </w:r>
      <w:r>
        <w:t xml:space="preserve"> </w:t>
      </w:r>
      <w:r>
        <w:t xml:space="preserve">magnitude is still small; the ordering from C2 on is the one the data can test.)</w:t>
      </w:r>
    </w:p>
    <w:p>
      <w:pPr>
        <w:pStyle w:val="BodyText"/>
      </w:pPr>
      <w:r>
        <w:rPr>
          <w:b/>
          <w:bCs/>
        </w:rPr>
        <w:t xml:space="preserve">A finding to carry into the fitting design.</w:t>
      </w:r>
      <w:r>
        <w:t xml:space="preserve"> </w:t>
      </w:r>
      <w:r>
        <w:t xml:space="preserve">The mild truck cut-ins (TTC6–TTC8) show</w:t>
      </w:r>
      <w:r>
        <w:t xml:space="preserve"> </w:t>
      </w:r>
      <w:r>
        <w:t xml:space="preserve">zero or near-zero deficit through most of the response window: at a ~36 m gap and small</w:t>
      </w:r>
      <w:r>
        <w:t xml:space="preserve"> </w:t>
      </w:r>
      <w:r>
        <w:t xml:space="preserve">closing speed, the counterfactual crash is genuinely avoidable at a_max = 8 m/s², so the</w:t>
      </w:r>
      <w:r>
        <w:t xml:space="preserve"> </w:t>
      </w:r>
      <w:r>
        <w:rPr>
          <w:i/>
          <w:iCs/>
        </w:rPr>
        <w:t xml:space="preserve">dread</w:t>
      </w:r>
      <w:r>
        <w:t xml:space="preserve"> </w:t>
      </w:r>
      <w:r>
        <w:t xml:space="preserve">field is silent. If participants nevertheless press for these clips — and the</w:t>
      </w:r>
      <w:r>
        <w:t xml:space="preserve"> </w:t>
      </w:r>
      <w:r>
        <w:t xml:space="preserve">study’s own summaries suggest some do — a threshold on the dread field cannot explain it.</w:t>
      </w:r>
      <w:r>
        <w:t xml:space="preserve"> </w:t>
      </w:r>
      <w:r>
        <w:t xml:space="preserve">The comfort–dread distinction the method already carries (allowed deceleration well below</w:t>
      </w:r>
      <w:r>
        <w:t xml:space="preserve"> </w:t>
      </w:r>
      <w:r>
        <w:t xml:space="preserve">capability) is then not a refinement but a necessity, and the fitting should treat the</w:t>
      </w:r>
      <w:r>
        <w:t xml:space="preserve"> </w:t>
      </w:r>
      <w:r>
        <w:t xml:space="preserve">allowed deceleration as the axis on which the boundary lives. This is taken up in</w:t>
      </w:r>
      <w:r>
        <w:t xml:space="preserve"> </w:t>
      </w:r>
      <w:r>
        <w:rPr>
          <w:rStyle w:val="VerbatimChar"/>
        </w:rPr>
        <w:t xml:space="preserve">docs/czb_fitting_plan.md</w:t>
      </w:r>
      <w:r>
        <w:t xml:space="preserve">.</w:t>
      </w:r>
    </w:p>
    <w:bookmarkEnd w:id="14"/>
    <w:bookmarkStart w:id="15" w:name="Xe1241760c21d3399edb2aa85d58a16bd32f8aeb"/>
    <w:p>
      <w:pPr>
        <w:pStyle w:val="Heading2"/>
      </w:pPr>
      <w:r>
        <w:t xml:space="preserve">6 What this does and does not change elsewhere</w:t>
      </w:r>
    </w:p>
    <w:p>
      <w:pPr>
        <w:pStyle w:val="Compact"/>
        <w:numPr>
          <w:ilvl w:val="0"/>
          <w:numId w:val="1004"/>
        </w:numPr>
      </w:pPr>
      <w:r>
        <w:t xml:space="preserve">Both flags default to off. The released scenarios, the crash-causation study, the OSF</w:t>
      </w:r>
      <w:r>
        <w:t xml:space="preserve"> </w:t>
      </w:r>
      <w:r>
        <w:t xml:space="preserve">validation and every published number are computed with the released binary forms and</w:t>
      </w:r>
      <w:r>
        <w:t xml:space="preserve"> </w:t>
      </w:r>
      <w:r>
        <w:t xml:space="preserve">are unaffected; the full test suite passes unchanged either way.</w:t>
      </w:r>
    </w:p>
    <w:p>
      <w:pPr>
        <w:pStyle w:val="Compact"/>
        <w:numPr>
          <w:ilvl w:val="0"/>
          <w:numId w:val="1004"/>
        </w:numPr>
      </w:pPr>
      <w:r>
        <w:t xml:space="preserve">The cut-in evaluation (</w:t>
      </w:r>
      <w:r>
        <w:rPr>
          <w:rStyle w:val="VerbatimChar"/>
        </w:rPr>
        <w:t xml:space="preserve">comfortzone.cutin</w:t>
      </w:r>
      <w:r>
        <w:t xml:space="preserve">) switches both flags on and stages the</w:t>
      </w:r>
      <w:r>
        <w:t xml:space="preserve"> </w:t>
      </w:r>
      <w:r>
        <w:t xml:space="preserve">desired speed from the clip. Any cross-scenario transfer test must run all scenarios</w:t>
      </w:r>
      <w:r>
        <w:t xml:space="preserve"> </w:t>
      </w:r>
      <w:r>
        <w:t xml:space="preserve">under the same flags — fitting on a continuous field and predicting on a stepped one</w:t>
      </w:r>
      <w:r>
        <w:t xml:space="preserve"> </w:t>
      </w:r>
      <w:r>
        <w:t xml:space="preserve">would confound the transfer question with the representation.</w:t>
      </w:r>
    </w:p>
    <w:p>
      <w:pPr>
        <w:pStyle w:val="Compact"/>
        <w:numPr>
          <w:ilvl w:val="0"/>
          <w:numId w:val="1004"/>
        </w:numPr>
      </w:pPr>
      <w:r>
        <w:t xml:space="preserve">The OSF brake-onset calibration (median error 0.0 s) was validated with the released</w:t>
      </w:r>
      <w:r>
        <w:t xml:space="preserve"> </w:t>
      </w:r>
      <w:r>
        <w:t xml:space="preserve">forms on rear-end kinematics, where the lead is always in lane and P_lane = 1</w:t>
      </w:r>
      <w:r>
        <w:t xml:space="preserve"> </w:t>
      </w:r>
      <w:r>
        <w:t xml:space="preserve">throughout; the lane-entry weight cannot change those results. The residual-severity</w:t>
      </w:r>
      <w:r>
        <w:t xml:space="preserve"> </w:t>
      </w:r>
      <w:r>
        <w:t xml:space="preserve">flag does rescale deficit magnitudes, so a fitted level c is only comparable between</w:t>
      </w:r>
      <w:r>
        <w:t xml:space="preserve"> </w:t>
      </w:r>
      <w:r>
        <w:t xml:space="preserve">runs with the same flags.</w:t>
      </w:r>
    </w:p>
    <w:bookmarkEnd w:id="15"/>
    <w:bookmarkStart w:id="16" w:name="Xa22e178eed60d3d2f1885bdcf86acbd3e71f43f"/>
    <w:p>
      <w:pPr>
        <w:pStyle w:val="Heading2"/>
      </w:pPr>
      <w:r>
        <w:t xml:space="preserve">7 Remaining freedoms, stated so they are not mistaken for settled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linear projection with clamp-at-centering</w:t>
      </w:r>
      <w:r>
        <w:t xml:space="preserve"> </w:t>
      </w:r>
      <w:r>
        <w:t xml:space="preserve">is the simplest form 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“aims into the lane”</w:t>
      </w:r>
      <w:r>
        <w:t xml:space="preserve">. A saturating lateral-velocity profile would differ in the</w:t>
      </w:r>
      <w:r>
        <w:t xml:space="preserve"> </w:t>
      </w:r>
      <w:r>
        <w:t xml:space="preserve">first ~0.2 s of the manoeuvre; we would not expect the fitting to notice, but it has</w:t>
      </w:r>
      <w:r>
        <w:t xml:space="preserve"> </w:t>
      </w:r>
      <w:r>
        <w:t xml:space="preserve">not been checked.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lateral closing rate comes from differentiating the trace’s lateral offset</w:t>
      </w:r>
      <w:r>
        <w:t xml:space="preserve"> </w:t>
      </w:r>
      <w:r>
        <w:t xml:space="preserve">(10 Hz,</w:t>
      </w:r>
      <w:r>
        <w:t xml:space="preserve"> </w:t>
      </w:r>
      <w:r>
        <w:rPr>
          <w:rStyle w:val="VerbatimChar"/>
        </w:rPr>
        <w:t xml:space="preserve">np.gradient</w:t>
      </w:r>
      <w:r>
        <w:t xml:space="preserve">), which smears the onset by about one frame. Acceptable at the</w:t>
      </w:r>
      <w:r>
        <w:t xml:space="preserve"> </w:t>
      </w:r>
      <w:r>
        <w:t xml:space="preserve">data’s resolution; a Kalman or spline pre-smoother is the upgrade if it ever matters.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1.15 inflation factor is inherited unexamined</w:t>
      </w:r>
      <w:r>
        <w:t xml:space="preserve">, as is the use of the two</w:t>
      </w:r>
      <w:r>
        <w:t xml:space="preserve"> </w:t>
      </w:r>
      <w:r>
        <w:t xml:space="preserve">vehicles’ physical widths rather than a perceptual width.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manoeuvre-progress norm</w:t>
      </w:r>
      <w:r>
        <w:t xml:space="preserve"> </w:t>
      </w:r>
      <w:r>
        <w:t xml:space="preserve">(</w:t>
      </w:r>
      <w:r>
        <w:rPr>
          <w:rStyle w:val="VerbatimChar"/>
        </w:rPr>
        <w:t xml:space="preserve">cutin_norm_weight</w:t>
      </w:r>
      <w:r>
        <w:t xml:space="preserve">) remains deliberately neutral</w:t>
      </w:r>
      <w:r>
        <w:t xml:space="preserve"> </w:t>
      </w:r>
      <w:r>
        <w:t xml:space="preserve">(no penalty during a normally-paced lane change). Its categorization defect — the</w:t>
      </w:r>
      <w:r>
        <w:t xml:space="preserve"> </w:t>
      </w:r>
      <w:r>
        <w:t xml:space="preserve">straddling region was empty by construction — is fixed, but the time-dependence stays</w:t>
      </w:r>
      <w:r>
        <w:t xml:space="preserve"> </w:t>
      </w:r>
      <w:r>
        <w:t xml:space="preserve">off until there is a reason to switch it on; it is a separate object from P_lane and</w:t>
      </w:r>
      <w:r>
        <w:t xml:space="preserve"> </w:t>
      </w:r>
      <w:r>
        <w:t xml:space="preserve">should not be conflated with it.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2026-08-27T06:03:11Z</dcterms:created>
  <dcterms:modified xsi:type="dcterms:W3CDTF">2026-08-27T06:03:11Z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