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079f2a075d0276fca07e99c301922f32e49a7a"/>
    <w:p>
      <w:pPr>
        <w:pStyle w:val="Heading1"/>
      </w:pPr>
      <w:r>
        <w:t xml:space="preserve">A note for JJ: what we found when we put the full active-inference stack on the cut-in data</w:t>
      </w:r>
    </w:p>
    <w:p>
      <w:pPr>
        <w:pStyle w:val="BlockText"/>
      </w:pPr>
      <w:r>
        <w:rPr>
          <w:b/>
          <w:bCs/>
        </w:rPr>
        <w:t xml:space="preserve">[2026-09-24, do not send as it stands.]</w:t>
      </w:r>
      <w:r>
        <w:t xml:space="preserve"> </w:t>
      </w:r>
      <w:r>
        <w:t xml:space="preserve">The naturalistic data arrived after this note was</w:t>
      </w:r>
      <w:r>
        <w:t xml:space="preserve"> </w:t>
      </w:r>
      <w:r>
        <w:t xml:space="preserve">drafted. On 2,208 real highD cut-ins the followers’ braking responses are ordered by inverse TTC</w:t>
      </w:r>
      <w:r>
        <w:t xml:space="preserve"> </w:t>
      </w:r>
      <w:r>
        <w:t xml:space="preserve">better than by looming (cards NC.3, NC.3c), so this note’s statement that</w:t>
      </w:r>
      <w:r>
        <w:t xml:space="preserve"> </w:t>
      </w:r>
      <w:r>
        <w:t xml:space="preserve">“these participants</w:t>
      </w:r>
      <w:r>
        <w:t xml:space="preserve"> </w:t>
      </w:r>
      <w:r>
        <w:t xml:space="preserve">respond to optical expansion (Δv/gap²)”</w:t>
      </w:r>
      <w:r>
        <w:t xml:space="preserve"> </w:t>
      </w:r>
      <w:r>
        <w:t xml:space="preserve">holds for the video study only. The horizon-sum argument</w:t>
      </w:r>
      <w:r>
        <w:t xml:space="preserve"> </w:t>
      </w:r>
      <w:r>
        <w:t xml:space="preserve">is unaffected; the gate is now measured on highD (card JJ.9). Revise with Jonas’s answer to</w:t>
      </w:r>
      <w:r>
        <w:t xml:space="preserve"> </w:t>
      </w:r>
      <w:r>
        <w:t xml:space="preserve">query NC3C.Q1 before sending.</w:t>
      </w:r>
    </w:p>
    <w:p>
      <w:pPr>
        <w:pStyle w:val="FirstParagraph"/>
      </w:pPr>
      <w:r>
        <w:rPr>
          <w:i/>
          <w:iCs/>
        </w:rPr>
        <w:t xml:space="preserve">Draft, 2026-09-22, for Jonas to send when he chooses (his decision 2). One page. The colleague</w:t>
      </w:r>
      <w:r>
        <w:rPr>
          <w:i/>
          <w:iCs/>
        </w:rPr>
        <w:t xml:space="preserve"> </w:t>
      </w:r>
      <w:r>
        <w:rPr>
          <w:i/>
          <w:iCs/>
        </w:rPr>
        <w:t xml:space="preserve">is JJ in every project document; this note names no one and no company. Every number is from a</w:t>
      </w:r>
      <w:r>
        <w:rPr>
          <w:i/>
          <w:iCs/>
        </w:rPr>
        <w:t xml:space="preserve"> </w:t>
      </w:r>
      <w:r>
        <w:rPr>
          <w:i/>
          <w:iCs/>
        </w:rPr>
        <w:t xml:space="preserve">committed script with a tracked output in the project repository; the pointers are in brackets</w:t>
      </w:r>
      <w:r>
        <w:rPr>
          <w:i/>
          <w:iCs/>
        </w:rPr>
        <w:t xml:space="preserve"> </w:t>
      </w:r>
      <w:r>
        <w:rPr>
          <w:i/>
          <w:iCs/>
        </w:rPr>
        <w:t xml:space="preserve">for Jonas and can be removed before sending.</w:t>
      </w:r>
    </w:p>
    <w:p>
      <w:pPr>
        <w:pStyle w:val="BodyText"/>
      </w:pPr>
      <w:r>
        <w:rPr>
          <w:b/>
          <w:bCs/>
        </w:rPr>
        <w:t xml:space="preserve">What we did.</w:t>
      </w:r>
      <w:r>
        <w:t xml:space="preserve"> </w:t>
      </w:r>
      <w:r>
        <w:t xml:space="preserve">After our conversation we built the construction you argued for: at the response</w:t>
      </w:r>
      <w:r>
        <w:t xml:space="preserve"> </w:t>
      </w:r>
      <w:r>
        <w:t xml:space="preserve">moment of each stimulus clip, a belief over the cut-in vehicle’s state with a latent lane-change</w:t>
      </w:r>
      <w:r>
        <w:t xml:space="preserve"> </w:t>
      </w:r>
      <w:r>
        <w:t xml:space="preserve">intention, a fan of its futures under a Gaussian predictive model, the ego’s policies rolled out</w:t>
      </w:r>
      <w:r>
        <w:t xml:space="preserve"> </w:t>
      </w:r>
      <w:r>
        <w:t xml:space="preserve">against that fan, each scored with the released preference function in its residual-information</w:t>
      </w:r>
      <w:r>
        <w:t xml:space="preserve"> </w:t>
      </w:r>
      <w:r>
        <w:t xml:space="preserve">form, and ΔG = G(continue) − min over the menu as the criticality axis. We tested it on the</w:t>
      </w:r>
      <w:r>
        <w:t xml:space="preserve"> </w:t>
      </w:r>
      <w:r>
        <w:t xml:space="preserve">second cut-in study (378 cells, 288 after the lane change starts and 90 before, held out by</w:t>
      </w:r>
      <w:r>
        <w:t xml:space="preserve"> </w:t>
      </w:r>
      <w:r>
        <w:t xml:space="preserve">starting TTC), against the model that fits those data: a looming threshold with an anticipatory</w:t>
      </w:r>
      <w:r>
        <w:t xml:space="preserve"> </w:t>
      </w:r>
      <w:r>
        <w:t xml:space="preserve">gate (held-out weighted RMSE 0.103; chance 0.32). We then varied everything we could think of:</w:t>
      </w:r>
      <w:r>
        <w:t xml:space="preserve"> </w:t>
      </w:r>
      <w:r>
        <w:t xml:space="preserve">the preference constants (648 vectors), the functional of the expected free energy, the policy</w:t>
      </w:r>
      <w:r>
        <w:t xml:space="preserve"> </w:t>
      </w:r>
      <w:r>
        <w:t xml:space="preserve">menu with and without steering, the released planner itself, strand 1’s preference structure</w:t>
      </w:r>
      <w:r>
        <w:t xml:space="preserve"> </w:t>
      </w:r>
      <w:r>
        <w:t xml:space="preserve">and an admissibility reading of its absolute conflict preference, the released model’s own</w:t>
      </w:r>
      <w:r>
        <w:t xml:space="preserve"> </w:t>
      </w:r>
      <w:r>
        <w:t xml:space="preserve">τ⁻¹ looming preference, and four functionals over the horizon.</w:t>
      </w:r>
    </w:p>
    <w:p>
      <w:pPr>
        <w:pStyle w:val="BodyText"/>
      </w:pPr>
      <w:r>
        <w:rPr>
          <w:b/>
          <w:bCs/>
        </w:rPr>
        <w:t xml:space="preserve">What we found.</w:t>
      </w:r>
      <w:r>
        <w:t xml:space="preserve"> </w:t>
      </w:r>
      <w:r>
        <w:t xml:space="preserve">Every one of these quantities scores at chance on the cut-in (0.30 to 0.32),</w:t>
      </w:r>
      <w:r>
        <w:t xml:space="preserve"> </w:t>
      </w:r>
      <w:r>
        <w:t xml:space="preserve">and for one structural reason, which we think is worth your attention. A one-sided preference</w:t>
      </w:r>
      <w:r>
        <w:t xml:space="preserve"> </w:t>
      </w:r>
      <w:r>
        <w:t xml:space="preserve">(collision, braking margin, or looming) summed over the planning horizon of a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policy</w:t>
      </w:r>
      <w:r>
        <w:t xml:space="preserve"> </w:t>
      </w:r>
      <w:r>
        <w:t xml:space="preserve">that drives through the lead counts</w:t>
      </w:r>
      <w:r>
        <w:t xml:space="preserve"> </w:t>
      </w:r>
      <w:r>
        <w:rPr>
          <w:i/>
          <w:iCs/>
        </w:rPr>
        <w:t xml:space="preserve">the number of steps before contact</w:t>
      </w:r>
      <w:r>
        <w:t xml:space="preserve">, which grows with the</w:t>
      </w:r>
      <w:r>
        <w:t xml:space="preserve"> </w:t>
      </w:r>
      <w:r>
        <w:t xml:space="preserve">time to collision. The summed quantity therefore correlates +0.92 with TTC and is ordered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the participants, who respond to proximity and looming; read pointwise at the response</w:t>
      </w:r>
      <w:r>
        <w:t xml:space="preserve"> </w:t>
      </w:r>
      <w:r>
        <w:t xml:space="preserve">moment, the same quantities are ordered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them (the required deceleration of SI Eq. 51:</w:t>
      </w:r>
      <w:r>
        <w:t xml:space="preserve"> </w:t>
      </w:r>
      <w:r>
        <w:t xml:space="preserve">+0.63 with the share who intervene, +0.74 to +0.94 within each closing speed). Removing the sum</w:t>
      </w:r>
      <w:r>
        <w:t xml:space="preserve"> </w:t>
      </w:r>
      <w:r>
        <w:t xml:space="preserve">(per-step rate, maximum over the horizon, first step) removes the inversion but produces no axis,</w:t>
      </w:r>
      <w:r>
        <w:t xml:space="preserve"> </w:t>
      </w:r>
      <w:r>
        <w:t xml:space="preserve">because the released looming term is a TTC quantity (Δv/gap), and these participants respond to</w:t>
      </w:r>
      <w:r>
        <w:t xml:space="preserve"> </w:t>
      </w:r>
      <w:r>
        <w:t xml:space="preserve">optical expansion (Δv/gap²). [cards JJ.2 to JJ.5b;</w:t>
      </w:r>
      <w:r>
        <w:t xml:space="preserve"> </w:t>
      </w:r>
      <w:r>
        <w:rPr>
          <w:rStyle w:val="VerbatimChar"/>
        </w:rPr>
        <w:t xml:space="preserve">docs/review_2026-09-22.md</w:t>
      </w:r>
      <w:r>
        <w:t xml:space="preserve"> </w:t>
      </w:r>
      <w:r>
        <w:t xml:space="preserve">checks §1]</w:t>
      </w:r>
    </w:p>
    <w:p>
      <w:pPr>
        <w:pStyle w:val="BodyText"/>
      </w:pPr>
      <w:r>
        <w:rPr>
          <w:b/>
          <w:bCs/>
        </w:rPr>
        <w:t xml:space="preserve">What did come out of the framework.</w:t>
      </w:r>
      <w:r>
        <w:t xml:space="preserve"> </w:t>
      </w:r>
      <w:r>
        <w:t xml:space="preserve">Two things, and they are the reason we are still working</w:t>
      </w:r>
      <w:r>
        <w:t xml:space="preserve"> </w:t>
      </w:r>
      <w:r>
        <w:t xml:space="preserve">inside it. First, the</w:t>
      </w:r>
      <w:r>
        <w:t xml:space="preserve"> </w:t>
      </w:r>
      <w:r>
        <w:rPr>
          <w:i/>
          <w:iCs/>
        </w:rPr>
        <w:t xml:space="preserve">gate</w:t>
      </w:r>
      <w:r>
        <w:t xml:space="preserve"> </w:t>
      </w:r>
      <w:r>
        <w:t xml:space="preserve">of our measurement model, the probability that the other vehicle</w:t>
      </w:r>
      <w:r>
        <w:t xml:space="preserve"> </w:t>
      </w:r>
      <w:r>
        <w:t xml:space="preserve">counts yet, turns out to be exactly the predictive uncertainty of a Gaussian model of the other’s</w:t>
      </w:r>
      <w:r>
        <w:t xml:space="preserve"> </w:t>
      </w:r>
      <w:r>
        <w:t xml:space="preserve">lateral motion: P(its body reaches mine within 3 s) = Φ((−l₀ − l̇T)/(σT)), which reproduces the</w:t>
      </w:r>
      <w:r>
        <w:t xml:space="preserve"> </w:t>
      </w:r>
      <w:r>
        <w:t xml:space="preserve">fitted gate to machine precision with s_l = σT, and scores 0.1028 / 0.046 with nothing fitted but</w:t>
      </w:r>
      <w:r>
        <w:t xml:space="preserve"> </w:t>
      </w:r>
      <w:r>
        <w:t xml:space="preserve">the response model. The latent intention variable is not needed for it, and as we had built it</w:t>
      </w:r>
      <w:r>
        <w:t xml:space="preserve"> </w:t>
      </w:r>
      <w:r>
        <w:t xml:space="preserve">(changers at a fixed lateral speed, keepers clipped at the lane edge) it prevented the belief</w:t>
      </w:r>
      <w:r>
        <w:t xml:space="preserve"> </w:t>
      </w:r>
      <w:r>
        <w:t xml:space="preserve">from grading. [card JJ.6e] Second, the boundary itself reads as a driver’s one-sided prior over</w:t>
      </w:r>
      <w:r>
        <w:t xml:space="preserve"> </w:t>
      </w:r>
      <w:r>
        <w:t xml:space="preserve">the looming of a</w:t>
      </w:r>
      <w:r>
        <w:t xml:space="preserve"> </w:t>
      </w:r>
      <w:r>
        <w:rPr>
          <w:i/>
          <w:iCs/>
        </w:rPr>
        <w:t xml:space="preserve">lead</w:t>
      </w:r>
      <w:r>
        <w:t xml:space="preserve">, with</w:t>
      </w:r>
      <w:r>
        <w:t xml:space="preserve"> </w:t>
      </w:r>
      <w:r>
        <w:t xml:space="preserve">“is it a lead”</w:t>
      </w:r>
      <w:r>
        <w:t xml:space="preserve"> </w:t>
      </w:r>
      <w:r>
        <w:t xml:space="preserve">predicted rather than observed: F = P(lead) × excess,</w:t>
      </w:r>
      <w:r>
        <w:t xml:space="preserve"> </w:t>
      </w:r>
      <w:r>
        <w:t xml:space="preserve">the free energy of the present observation. The data cannot tell the reflex reading of that from a</w:t>
      </w:r>
      <w:r>
        <w:t xml:space="preserve"> </w:t>
      </w:r>
      <w:r>
        <w:t xml:space="preserve">one-step expected-free-energy decision, but they reject an additive-noise spread (+0.023): the</w:t>
      </w:r>
      <w:r>
        <w:t xml:space="preserve"> </w:t>
      </w:r>
      <w:r>
        <w:t xml:space="preserve">spread is a spread of levels across drivers, which is the comfort-zone deliverable. [JJ.8, JJ.10]</w:t>
      </w:r>
    </w:p>
    <w:p>
      <w:pPr>
        <w:pStyle w:val="BodyText"/>
      </w:pPr>
      <w:r>
        <w:rPr>
          <w:b/>
          <w:bCs/>
        </w:rPr>
        <w:t xml:space="preserve">The one circularity, and the question for you.</w:t>
      </w:r>
      <w:r>
        <w:t xml:space="preserve"> </w:t>
      </w:r>
      <w:r>
        <w:t xml:space="preserve">The lateral-rate uncertainty σ = 0.33 m/s was</w:t>
      </w:r>
      <w:r>
        <w:t xml:space="preserve"> </w:t>
      </w:r>
      <w:r>
        <w:t xml:space="preserve">itself set from the fitted gate’s spread, so the gate is a restatement, not a prediction, until σ</w:t>
      </w:r>
      <w:r>
        <w:t xml:space="preserve"> </w:t>
      </w:r>
      <w:r>
        <w:t xml:space="preserve">is measured on lane-keeping vehicles in naturalistic data; that is our next card when highD</w:t>
      </w:r>
      <w:r>
        <w:t xml:space="preserve"> </w:t>
      </w:r>
      <w:r>
        <w:t xml:space="preserve">arrives. The question: is there, in your group’s generative models of lateral motion, a value for</w:t>
      </w:r>
      <w:r>
        <w:t xml:space="preserve"> </w:t>
      </w:r>
      <w:r>
        <w:t xml:space="preserve">that quantity we could use as an independent prediction, and does the horizon-sum observation</w:t>
      </w:r>
      <w:r>
        <w:t xml:space="preserve"> </w:t>
      </w:r>
      <w:r>
        <w:t xml:space="preserve">match your own experience of using expected free energy as a criticality measure on human</w:t>
      </w:r>
      <w:r>
        <w:t xml:space="preserve"> </w:t>
      </w:r>
      <w:r>
        <w:t xml:space="preserve">response data?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2026-09-24T20:39:16Z</dcterms:created>
  <dcterms:modified xsi:type="dcterms:W3CDTF">2026-09-24T20:39:16Z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