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26.png" ContentType="image/png"/>
  <Override PartName="/word/media/rId30.png" ContentType="image/png"/>
  <Override PartName="/word/media/rId1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90f16718ac122fa1f5af3b328e573389229ce3"/>
    <w:p>
      <w:pPr>
        <w:pStyle w:val="Heading1"/>
      </w:pPr>
      <w:r>
        <w:t xml:space="preserve">Scope map: what we use of active inference, what we do not, and what the method actually is</w:t>
      </w:r>
    </w:p>
    <w:p>
      <w:pPr>
        <w:pStyle w:val="FirstParagraph"/>
      </w:pPr>
      <w:r>
        <w:rPr>
          <w:i/>
          <w:iCs/>
        </w:rPr>
        <w:t xml:space="preserve">2026-08-29, written at Jonas’s request for an overview, after his rulings on queries</w:t>
      </w:r>
      <w:r>
        <w:rPr>
          <w:i/>
          <w:iCs/>
        </w:rPr>
        <w:t xml:space="preserve"> </w:t>
      </w:r>
      <w:r>
        <w:rPr>
          <w:i/>
          <w:iCs/>
        </w:rPr>
        <w:t xml:space="preserve">R2.Q4–Q6. This document does not introduce new analysis. It collects what is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established across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docs/active_inference_for_czb_assessment.md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docs/r2_gate_decisions.md</w:t>
      </w:r>
      <w:r>
        <w:rPr>
          <w:i/>
          <w:iCs/>
        </w:rPr>
        <w:t xml:space="preserve">, the handovers and the code, and states it in one place with</w:t>
      </w:r>
      <w:r>
        <w:rPr>
          <w:i/>
          <w:iCs/>
        </w:rPr>
        <w:t xml:space="preserve"> </w:t>
      </w:r>
      <w:r>
        <w:rPr>
          <w:i/>
          <w:iCs/>
        </w:rPr>
        <w:t xml:space="preserve">diagrams. Every number quoted here comes from a committed script with a tracked output,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source file is named at the point of quotation. Figures are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docs/make_ai_scope_figures.py</w:t>
      </w:r>
      <w:r>
        <w:rPr>
          <w:i/>
          <w:iCs/>
        </w:rPr>
        <w:t xml:space="preserve">; the two data figures read their numbers from those</w:t>
      </w:r>
      <w:r>
        <w:rPr>
          <w:i/>
          <w:iCs/>
        </w:rPr>
        <w:t xml:space="preserve"> </w:t>
      </w:r>
      <w:r>
        <w:rPr>
          <w:i/>
          <w:iCs/>
        </w:rPr>
        <w:t xml:space="preserve">tracked outputs rather than from literals, so a re-run of an analysis moves the figure.</w:t>
      </w:r>
    </w:p>
    <w:bookmarkStart w:id="9" w:name="the-overview-in-one-paragraph"/>
    <w:p>
      <w:pPr>
        <w:pStyle w:val="Heading2"/>
      </w:pPr>
      <w:r>
        <w:t xml:space="preserve">0 The overview in one paragraph</w:t>
      </w:r>
    </w:p>
    <w:p>
      <w:pPr>
        <w:pStyle w:val="FirstParagraph"/>
      </w:pPr>
      <w:r>
        <w:t xml:space="preserve">The project uses a</w:t>
      </w:r>
      <w:r>
        <w:t xml:space="preserve"> </w:t>
      </w:r>
      <w:r>
        <w:rPr>
          <w:b/>
          <w:bCs/>
        </w:rPr>
        <w:t xml:space="preserve">thin, deliberately chosen slice</w:t>
      </w:r>
      <w:r>
        <w:t xml:space="preserve"> </w:t>
      </w:r>
      <w:r>
        <w:t xml:space="preserve">of active inference: a calibrated</w:t>
      </w:r>
      <w:r>
        <w:t xml:space="preserve"> </w:t>
      </w:r>
      <w:r>
        <w:t xml:space="preserve">preference distribution</w:t>
      </w:r>
      <w:r>
        <w:t xml:space="preserve"> </w:t>
      </w:r>
      <w:r>
        <w:rPr>
          <w:i/>
          <w:iCs/>
        </w:rPr>
        <w:t xml:space="preserve">p(o)</w:t>
      </w:r>
      <w:r>
        <w:t xml:space="preserve"> </w:t>
      </w:r>
      <w:r>
        <w:t xml:space="preserve">inherited from a published and behaviorally validated</w:t>
      </w:r>
      <w:r>
        <w:t xml:space="preserve"> </w:t>
      </w:r>
      <w:r>
        <w:t xml:space="preserve">driver model, read through one member of the surprise family (residual information) to</w:t>
      </w:r>
      <w:r>
        <w:t xml:space="preserve"> </w:t>
      </w:r>
      <w:r>
        <w:t xml:space="preserve">give a non-negative scalar with a true zero. Everything else in the framework — belief</w:t>
      </w:r>
      <w:r>
        <w:t xml:space="preserve"> </w:t>
      </w:r>
      <w:r>
        <w:t xml:space="preserve">updating, policy search, expected-free-energy planning, epistemic value — is switched</w:t>
      </w:r>
      <w:r>
        <w:t xml:space="preserve"> </w:t>
      </w:r>
      <w:r>
        <w:t xml:space="preserve">off in the deliverable, though the repository does contain a full closed-loop</w:t>
      </w:r>
      <w:r>
        <w:t xml:space="preserve"> </w:t>
      </w:r>
      <w:r>
        <w:t xml:space="preserve">active-inference agent used in the crash-causation workstream. The distinctive claim was</w:t>
      </w:r>
      <w:r>
        <w:t xml:space="preserve"> </w:t>
      </w:r>
      <w:r>
        <w:t xml:space="preserve">never</w:t>
      </w:r>
      <w:r>
        <w:t xml:space="preserve"> </w:t>
      </w:r>
      <w:r>
        <w:t xml:space="preserve">“we use active inference”</w:t>
      </w:r>
      <w:r>
        <w:t xml:space="preserve">; it was that</w:t>
      </w:r>
      <w:r>
        <w:t xml:space="preserve"> </w:t>
      </w:r>
      <w:r>
        <w:rPr>
          <w:b/>
          <w:bCs/>
        </w:rPr>
        <w:t xml:space="preserve">one scalar does two jobs</w:t>
      </w:r>
      <w:r>
        <w:t xml:space="preserve"> </w:t>
      </w:r>
      <w:r>
        <w:t xml:space="preserve">— its level set</w:t>
      </w:r>
      <w:r>
        <w:t xml:space="preserve"> </w:t>
      </w:r>
      <w:r>
        <w:t xml:space="preserve">defines the comfort-zone boundary, and its accumulation over time predicts when a driver</w:t>
      </w:r>
      <w:r>
        <w:t xml:space="preserve"> </w:t>
      </w:r>
      <w:r>
        <w:t xml:space="preserve">acts. Both halves of that claim have now been tested on human data and both failed: the</w:t>
      </w:r>
      <w:r>
        <w:t xml:space="preserve"> </w:t>
      </w:r>
      <w:r>
        <w:t xml:space="preserve">accumulator at review gate R.1, and the field’s kinematic ordering at review gate R.2,</w:t>
      </w:r>
      <w:r>
        <w:t xml:space="preserve"> </w:t>
      </w:r>
      <w:r>
        <w:t xml:space="preserve">where it scored worse than chance on the design built to separate it from the simple</w:t>
      </w:r>
      <w:r>
        <w:t xml:space="preserve"> </w:t>
      </w:r>
      <w:r>
        <w:t xml:space="preserve">alternatives. What is left, and what the project’s headline now is, is</w:t>
      </w:r>
      <w:r>
        <w:t xml:space="preserve"> </w:t>
      </w:r>
      <w:r>
        <w:rPr>
          <w:b/>
          <w:bCs/>
        </w:rPr>
        <w:t xml:space="preserve">not an</w:t>
      </w:r>
      <w:r>
        <w:rPr>
          <w:b/>
          <w:bCs/>
        </w:rPr>
        <w:t xml:space="preserve"> </w:t>
      </w:r>
      <w:r>
        <w:rPr>
          <w:b/>
          <w:bCs/>
        </w:rPr>
        <w:t xml:space="preserve">active-inference method at all</w:t>
      </w:r>
      <w:r>
        <w:t xml:space="preserve">: it is a psychometric, hierarchical-Bayesian measurement</w:t>
      </w:r>
      <w:r>
        <w:t xml:space="preserve"> </w:t>
      </w:r>
      <w:r>
        <w:t xml:space="preserve">of a per-driver comfort-zone level, whose criticality axis is an open competition that</w:t>
      </w:r>
      <w:r>
        <w:t xml:space="preserve"> </w:t>
      </w:r>
      <w:r>
        <w:t xml:space="preserve">the longitudinal gap currently leads. The active-inference contribution that survives is</w:t>
      </w:r>
      <w:r>
        <w:t xml:space="preserve"> </w:t>
      </w:r>
      <w:r>
        <w:t xml:space="preserve">the framing, the calibration pipeline, and the falsification itself.</w:t>
      </w:r>
    </w:p>
    <w:p>
      <w:r>
        <w:pict>
          <v:rect style="width:0;height:1.5pt" o:hralign="center" o:hrstd="t" o:hr="t"/>
        </w:pict>
      </w:r>
    </w:p>
    <w:bookmarkEnd w:id="9"/>
    <w:bookmarkStart w:id="13" w:name="what-we-use"/>
    <w:p>
      <w:pPr>
        <w:pStyle w:val="Heading2"/>
      </w:pPr>
      <w:r>
        <w:t xml:space="preserve">1 What we use</w:t>
      </w:r>
    </w:p>
    <w:p>
      <w:pPr>
        <w:pStyle w:val="CaptionedFigure"/>
      </w:pPr>
      <w:r>
        <w:drawing>
          <wp:inline>
            <wp:extent cx="5334000" cy="4975485"/>
            <wp:effectExtent b="0" l="0" r="0" t="0"/>
            <wp:docPr descr="The active-inference stack, and the slice each workstream takes" title="" id="11" name="Picture"/>
            <a:graphic>
              <a:graphicData uri="http://schemas.openxmlformats.org/drawingml/2006/picture">
                <pic:pic>
                  <pic:nvPicPr>
                    <pic:cNvPr descr="ai_scope_figures/stack_scop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5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active-inference stack, and the slice each workstream takes</w:t>
      </w:r>
    </w:p>
    <w:p>
      <w:pPr>
        <w:pStyle w:val="BodyText"/>
      </w:pPr>
      <w:r>
        <w:t xml:space="preserve">Three components, and only three, carry the method.</w:t>
      </w:r>
    </w:p>
    <w:p>
      <w:pPr>
        <w:pStyle w:val="BodyText"/>
      </w:pPr>
      <w:r>
        <w:rPr>
          <w:b/>
          <w:bCs/>
        </w:rPr>
        <w:t xml:space="preserve">The preference distribution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p(o)</w:t>
      </w:r>
      <w:r>
        <w:rPr>
          <w:b/>
          <w:bCs/>
        </w:rPr>
        <w:t xml:space="preserve">.</w:t>
      </w:r>
      <w:r>
        <w:t xml:space="preserve"> </w:t>
      </w:r>
      <w:r>
        <w:t xml:space="preserve">Six additive log terms — speed, longitudinal</w:t>
      </w:r>
      <w:r>
        <w:t xml:space="preserve"> </w:t>
      </w:r>
      <w:r>
        <w:t xml:space="preserve">acceleration, steering rate, lateral position, collision, safety — implemented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following the released code of Schumann et al. (2026). Not</w:t>
      </w:r>
      <w:r>
        <w:t xml:space="preserve"> </w:t>
      </w:r>
      <w:r>
        <w:t xml:space="preserve">one of its parameters is refitted by us. This is the whole point of the inheritance: the</w:t>
      </w:r>
      <w:r>
        <w:t xml:space="preserve"> </w:t>
      </w:r>
      <w:r>
        <w:t xml:space="preserve">functional form and its constants arrive pre-shaped by someone else’s behavioral</w:t>
      </w:r>
      <w:r>
        <w:t xml:space="preserve"> </w:t>
      </w:r>
      <w:r>
        <w:t xml:space="preserve">validation, and are documented, rather than being invented by us as a hand-designed cost</w:t>
      </w:r>
      <w:r>
        <w:t xml:space="preserve"> </w:t>
      </w:r>
      <w:r>
        <w:t xml:space="preserve">function. The two lower terms carry the conflict geometry:</w:t>
      </w:r>
      <w:r>
        <w:t xml:space="preserve"> </w:t>
      </w:r>
      <w:r>
        <w:rPr>
          <w:rStyle w:val="VerbatimChar"/>
        </w:rPr>
        <w:t xml:space="preserve">p_coll</w:t>
      </w:r>
      <w:r>
        <w:t xml:space="preserve"> </w:t>
      </w:r>
      <w:r>
        <w:t xml:space="preserve">from the predicted</w:t>
      </w:r>
      <w:r>
        <w:t xml:space="preserve"> </w:t>
      </w:r>
      <w:r>
        <w:t xml:space="preserve">overlap, and</w:t>
      </w:r>
      <w:r>
        <w:t xml:space="preserve"> </w:t>
      </w:r>
      <w:r>
        <w:rPr>
          <w:rStyle w:val="VerbatimChar"/>
        </w:rPr>
        <w:t xml:space="preserve">p_safe</w:t>
      </w:r>
      <w:r>
        <w:t xml:space="preserve"> </w:t>
      </w:r>
      <w:r>
        <w:t xml:space="preserve">from the counterfactual in which the lead vehicle brakes as hard as</w:t>
      </w:r>
      <w:r>
        <w:t xml:space="preserve"> </w:t>
      </w:r>
      <w:r>
        <w:t xml:space="preserve">it can.</w:t>
      </w:r>
    </w:p>
    <w:p>
      <w:pPr>
        <w:pStyle w:val="BodyText"/>
      </w:pPr>
      <w:r>
        <w:rPr>
          <w:b/>
          <w:bCs/>
        </w:rPr>
        <w:t xml:space="preserve">Residual information.</w:t>
      </w:r>
      <w:r>
        <w:t xml:space="preserve"> </w:t>
      </w:r>
      <w:r>
        <w:t xml:space="preserve">The surprise measure that converts a log-preference into a</w:t>
      </w:r>
      <w:r>
        <w:t xml:space="preserve"> </w:t>
      </w:r>
      <w:r>
        <w:t xml:space="preserve">usable scalar:</w:t>
      </w:r>
    </w:p>
    <w:p>
      <w:pPr>
        <w:pStyle w:val="BlockText"/>
      </w:pPr>
      <w:r>
        <w:t xml:space="preserve">ε(o) = max</w:t>
      </w:r>
      <w:r>
        <w:t xml:space="preserve">o′</w:t>
      </w:r>
      <w:r>
        <w:t xml:space="preserve"> </w:t>
      </w:r>
      <w:r>
        <w:t xml:space="preserve">log p(o′) − log p(o) ≥ 0</w:t>
      </w:r>
    </w:p>
    <w:p>
      <w:pPr>
        <w:pStyle w:val="FirstParagraph"/>
      </w:pPr>
      <w:r>
        <w:t xml:space="preserve">The property that matters is the</w:t>
      </w:r>
      <w:r>
        <w:t xml:space="preserve"> </w:t>
      </w:r>
      <w:r>
        <w:rPr>
          <w:b/>
          <w:bCs/>
        </w:rPr>
        <w:t xml:space="preserve">true zero</w:t>
      </w:r>
      <w:r>
        <w:t xml:space="preserve">: ε is exactly zero at the driver’s</w:t>
      </w:r>
      <w:r>
        <w:t xml:space="preserve"> </w:t>
      </w:r>
      <w:r>
        <w:t xml:space="preserve">preferred observation, so</w:t>
      </w:r>
      <w:r>
        <w:t xml:space="preserve"> </w:t>
      </w:r>
      <w:r>
        <w:t xml:space="preserve">“comfortable”</w:t>
      </w:r>
      <w:r>
        <w:t xml:space="preserve"> </w:t>
      </w:r>
      <w:r>
        <w:t xml:space="preserve">is a value rather than a convention. That is what</w:t>
      </w:r>
      <w:r>
        <w:t xml:space="preserve"> </w:t>
      </w:r>
      <w:r>
        <w:t xml:space="preserve">makes a level set interpretable as a boundary.</w:t>
      </w:r>
      <w:r>
        <w:t xml:space="preserve"> </w:t>
      </w:r>
      <w:r>
        <w:rPr>
          <w:rStyle w:val="VerbatimChar"/>
        </w:rPr>
        <w:t xml:space="preserve">src/surprise/</w:t>
      </w:r>
      <w:r>
        <w:t xml:space="preserve"> </w:t>
      </w:r>
      <w:r>
        <w:t xml:space="preserve">implements this alongside</w:t>
      </w:r>
      <w:r>
        <w:t xml:space="preserve"> </w:t>
      </w:r>
      <w:r>
        <w:t xml:space="preserve">the rest of the Modirshanechi et al. (2022) taxonomy, and it is the one library component</w:t>
      </w:r>
      <w:r>
        <w:t xml:space="preserve"> </w:t>
      </w:r>
      <w:r>
        <w:t xml:space="preserve">that is validated on its own terms and independent of everything else here.</w:t>
      </w:r>
    </w:p>
    <w:p>
      <w:pPr>
        <w:pStyle w:val="BodyText"/>
      </w:pPr>
      <w:r>
        <w:rPr>
          <w:b/>
          <w:bCs/>
        </w:rPr>
        <w:t xml:space="preserve">Evidence accumulation — used, and now falsified as specified.</w:t>
      </w:r>
      <w:r>
        <w:t xml:space="preserve"> </w:t>
      </w:r>
      <w:r>
        <w:t xml:space="preserve">Integrating ε to a</w:t>
      </w:r>
      <w:r>
        <w:t xml:space="preserve"> </w:t>
      </w:r>
      <w:r>
        <w:t xml:space="preserve">bound gives a response onset. This is the link to timing, and it is what review gate R.1</w:t>
      </w:r>
      <w:r>
        <w:t xml:space="preserve"> </w:t>
      </w:r>
      <w:r>
        <w:t xml:space="preserve">tested and rejected in our formulation.</w:t>
      </w:r>
    </w:p>
    <w:p>
      <w:pPr>
        <w:pStyle w:val="BodyText"/>
      </w:pPr>
      <w:r>
        <w:rPr>
          <w:b/>
          <w:bCs/>
        </w:rPr>
        <w:t xml:space="preserve">One qualification on</w:t>
      </w:r>
      <w:r>
        <w:rPr>
          <w:b/>
          <w:bCs/>
        </w:rPr>
        <w:t xml:space="preserve"> </w:t>
      </w:r>
      <w:r>
        <w:rPr>
          <w:b/>
          <w:bCs/>
        </w:rPr>
        <w:t xml:space="preserve">“no prediction”</w:t>
      </w:r>
      <w:r>
        <w:rPr>
          <w:b/>
          <w:bCs/>
        </w:rPr>
        <w:t xml:space="preserve">.</w:t>
      </w:r>
      <w:r>
        <w:t xml:space="preserve"> </w:t>
      </w:r>
      <w:r>
        <w:t xml:space="preserve">The lane-entry weight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closed-form</w:t>
      </w:r>
      <w:r>
        <w:t xml:space="preserve"> </w:t>
      </w:r>
      <w:r>
        <w:t xml:space="preserve">prediction of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vehicle’s motion — that is why the figure marks the generative</w:t>
      </w:r>
      <w:r>
        <w:t xml:space="preserve"> </w:t>
      </w:r>
      <w:r>
        <w:t xml:space="preserve">model</w:t>
      </w:r>
      <w:r>
        <w:t xml:space="preserve"> </w:t>
      </w:r>
      <w:r>
        <w:t xml:space="preserve">“in part”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“not used”</w:t>
      </w:r>
      <w:r>
        <w:t xml:space="preserve">. What is absent is any rollout of the</w:t>
      </w:r>
      <w:r>
        <w:t xml:space="preserve"> </w:t>
      </w:r>
      <w:r>
        <w:rPr>
          <w:b/>
          <w:bCs/>
        </w:rPr>
        <w:t xml:space="preserve">ego’s own</w:t>
      </w:r>
      <w:r>
        <w:t xml:space="preserve"> </w:t>
      </w:r>
      <w:r>
        <w:t xml:space="preserve">policies (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§4b). For the study stimuli that omission is</w:t>
      </w:r>
      <w:r>
        <w:t xml:space="preserve"> </w:t>
      </w:r>
      <w:r>
        <w:t xml:space="preserve">arguably correct rather than approximate: participants are asked when doing nothing stops</w:t>
      </w:r>
      <w:r>
        <w:t xml:space="preserve"> </w:t>
      </w:r>
      <w:r>
        <w:t xml:space="preserve">being acceptable, which is exactly the pointwise deficit of the no-action trajectory.</w:t>
      </w:r>
    </w:p>
    <w:bookmarkEnd w:id="13"/>
    <w:bookmarkStart w:id="14" w:name="what-we-do-not-use"/>
    <w:p>
      <w:pPr>
        <w:pStyle w:val="Heading2"/>
      </w:pPr>
      <w:r>
        <w:t xml:space="preserve">2 What we do not use</w:t>
      </w:r>
    </w:p>
    <w:p>
      <w:pPr>
        <w:pStyle w:val="FirstParagraph"/>
      </w:pPr>
      <w:r>
        <w:rPr>
          <w:b/>
          <w:bCs/>
        </w:rPr>
        <w:t xml:space="preserve">Expected-free-energy planning and policy search.</w:t>
      </w:r>
      <w:r>
        <w:t xml:space="preserve"> </w:t>
      </w:r>
      <w:r>
        <w:t xml:space="preserve">The field method is rollout-free by</w:t>
      </w:r>
      <w:r>
        <w:t xml:space="preserve"> </w:t>
      </w:r>
      <w:r>
        <w:t xml:space="preserve">design; that is what makes it closed-form in observables and cheap enough to run in a</w:t>
      </w:r>
      <w:r>
        <w:t xml:space="preserve"> </w:t>
      </w:r>
      <w:r>
        <w:t xml:space="preserve">vehicle. The full closed loop costs roughly 18 s of CPU per simulated step.</w:t>
      </w:r>
    </w:p>
    <w:p>
      <w:pPr>
        <w:pStyle w:val="BodyText"/>
      </w:pPr>
      <w:r>
        <w:rPr>
          <w:b/>
          <w:bCs/>
        </w:rPr>
        <w:t xml:space="preserve">Epistemic value and the gaze half.</w:t>
      </w:r>
      <w:r>
        <w:t xml:space="preserve"> </w:t>
      </w:r>
      <w:r>
        <w:t xml:space="preserve">α = 0 throughout. The authors’ own ablation found</w:t>
      </w:r>
      <w:r>
        <w:t xml:space="preserve"> </w:t>
      </w:r>
      <w:r>
        <w:t xml:space="preserve">epistemic value inert in the longitudinal scenarios, so this matches their validated</w:t>
      </w:r>
      <w:r>
        <w:t xml:space="preserve"> </w:t>
      </w:r>
      <w:r>
        <w:t xml:space="preserve">configuration rather than departing from it. Choosing glances by epistemic pricing —</w:t>
      </w:r>
      <w:r>
        <w:t xml:space="preserve"> </w:t>
      </w:r>
      <w:r>
        <w:t xml:space="preserve">handbook ch. 08’s second proposal — remains the largest unexercised half of the machinery.</w:t>
      </w:r>
    </w:p>
    <w:p>
      <w:pPr>
        <w:pStyle w:val="BodyText"/>
      </w:pPr>
      <w:r>
        <w:rPr>
          <w:b/>
          <w:bCs/>
        </w:rPr>
        <w:t xml:space="preserve">Belief updating and state estimation.</w:t>
      </w:r>
      <w:r>
        <w:t xml:space="preserve"> </w:t>
      </w:r>
      <w:r>
        <w:t xml:space="preserve">The field is evaluated on observed kinematics</w:t>
      </w:r>
      <w:r>
        <w:t xml:space="preserve"> </w:t>
      </w:r>
      <w:r>
        <w:t xml:space="preserve">directly, with no particle filter. This is what makes it applicable to naturalistic data</w:t>
      </w:r>
      <w:r>
        <w:t xml:space="preserve"> </w:t>
      </w:r>
      <w:r>
        <w:t xml:space="preserve">without model roll-out.</w:t>
      </w:r>
    </w:p>
    <w:p>
      <w:pPr>
        <w:pStyle w:val="BodyText"/>
      </w:pPr>
      <w:r>
        <w:rPr>
          <w:b/>
          <w:bCs/>
        </w:rPr>
        <w:t xml:space="preserve">A caveat about that list.</w:t>
      </w:r>
      <w:r>
        <w:t xml:space="preserve"> </w:t>
      </w:r>
      <w:r>
        <w:t xml:space="preserve">All three are switched off</w:t>
      </w:r>
      <w:r>
        <w:t xml:space="preserve"> </w:t>
      </w:r>
      <w:r>
        <w:rPr>
          <w:i/>
          <w:iCs/>
        </w:rPr>
        <w:t xml:space="preserve">in the deliverable</w:t>
      </w:r>
      <w:r>
        <w:t xml:space="preserve">. The</w:t>
      </w:r>
      <w:r>
        <w:t xml:space="preserve"> </w:t>
      </w:r>
      <w:r>
        <w:t xml:space="preserve">repository’s crash-causation workstream (</w:t>
      </w:r>
      <w:r>
        <w:rPr>
          <w:rStyle w:val="VerbatimChar"/>
        </w:rPr>
        <w:t xml:space="preserve">src/aidriver/agent.py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src/causation/</w:t>
      </w:r>
      <w:r>
        <w:t xml:space="preserve">) runs</w:t>
      </w:r>
      <w:r>
        <w:t xml:space="preserve"> </w:t>
      </w:r>
      <w:r>
        <w:t xml:space="preserve">the entire loop — particle-filter beliefs, CEM policy search, expected free energy,</w:t>
      </w:r>
      <w:r>
        <w:t xml:space="preserve"> </w:t>
      </w:r>
      <w:r>
        <w:t xml:space="preserve">closed-loop action — on all 5 000 QUADRIS seeds. So</w:t>
      </w:r>
      <w:r>
        <w:t xml:space="preserve"> </w:t>
      </w:r>
      <w:r>
        <w:t xml:space="preserve">“we do not do planning”</w:t>
      </w:r>
      <w:r>
        <w:t xml:space="preserve"> </w:t>
      </w:r>
      <w:r>
        <w:t xml:space="preserve">is a true</w:t>
      </w:r>
      <w:r>
        <w:t xml:space="preserve"> </w:t>
      </w:r>
      <w:r>
        <w:t xml:space="preserve">statement about the CZB method and a false one about the repository, and the distinction</w:t>
      </w:r>
      <w:r>
        <w:t xml:space="preserve"> </w:t>
      </w:r>
      <w:r>
        <w:t xml:space="preserve">matters whenever the project is described to someone else.</w:t>
      </w:r>
    </w:p>
    <w:bookmarkEnd w:id="14"/>
    <w:bookmarkStart w:id="21" w:name="X63f746f84b1fbb95230a55b708b366d7269ac94"/>
    <w:p>
      <w:pPr>
        <w:pStyle w:val="Heading2"/>
      </w:pPr>
      <w:r>
        <w:t xml:space="preserve">3 The claim that made the framework worth the trouble — and its two failures</w:t>
      </w:r>
    </w:p>
    <w:p>
      <w:pPr>
        <w:pStyle w:val="CaptionedFigure"/>
      </w:pPr>
      <w:r>
        <w:drawing>
          <wp:inline>
            <wp:extent cx="5334000" cy="2753032"/>
            <wp:effectExtent b="0" l="0" r="0" t="0"/>
            <wp:docPr descr="The preference field, and the two jobs one scalar was meant to do" title="" id="16" name="Picture"/>
            <a:graphic>
              <a:graphicData uri="http://schemas.openxmlformats.org/drawingml/2006/picture">
                <pic:pic>
                  <pic:nvPicPr>
                    <pic:cNvPr descr="ai_scope_figures/field_pipe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preference field, and the two jobs one scalar was meant to do</w:t>
      </w:r>
    </w:p>
    <w:p>
      <w:pPr>
        <w:pStyle w:val="BodyText"/>
      </w:pPr>
      <w:r>
        <w:t xml:space="preserve">The honest unique selling point was never the label. It was the</w:t>
      </w:r>
      <w:r>
        <w:t xml:space="preserve"> </w:t>
      </w:r>
      <w:r>
        <w:rPr>
          <w:b/>
          <w:bCs/>
        </w:rPr>
        <w:t xml:space="preserve">dual role</w:t>
      </w:r>
      <w:r>
        <w:t xml:space="preserve">: the same</w:t>
      </w:r>
      <w:r>
        <w:t xml:space="preserve"> </w:t>
      </w:r>
      <w:r>
        <w:t xml:space="preserve">scalar whose accumulation explains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drivers act is the scalar whose level set</w:t>
      </w:r>
      <w:r>
        <w:t xml:space="preserve"> </w:t>
      </w:r>
      <w:r>
        <w:rPr>
          <w:i/>
          <w:iCs/>
        </w:rPr>
        <w:t xml:space="preserve">defines</w:t>
      </w:r>
      <w:r>
        <w:t xml:space="preserve"> </w:t>
      </w:r>
      <w:r>
        <w:t xml:space="preserve">the boundary. No conventional indicator has that property, and — decisively —</w:t>
      </w:r>
      <w:r>
        <w:t xml:space="preserve"> </w:t>
      </w:r>
      <w:r>
        <w:t xml:space="preserve">it is testable. Both tests have now been run.</w:t>
      </w:r>
    </w:p>
    <w:p>
      <w:pPr>
        <w:pStyle w:val="BodyText"/>
      </w:pPr>
      <w:r>
        <w:rPr>
          <w:b/>
          <w:bCs/>
        </w:rPr>
        <w:t xml:space="preserve">Failure 1: the timing half (review gate R.1).</w:t>
      </w:r>
      <w:r>
        <w:t xml:space="preserve"> </w:t>
      </w:r>
      <w:r>
        <w:t xml:space="preserve">Three structurally-argued accumulator</w:t>
      </w:r>
      <w:r>
        <w:t xml:space="preserve"> </w:t>
      </w:r>
      <w:r>
        <w:t xml:space="preserve">variants all fit worse in sample than the stage-0 static two-parameter probit (the final</w:t>
      </w:r>
      <w:r>
        <w:t xml:space="preserve"> </w:t>
      </w:r>
      <w:r>
        <w:t xml:space="preserve">v3 variant 0.169 against 0.125), and v3’s held-out RMSE of</w:t>
      </w:r>
      <w:r>
        <w:t xml:space="preserve"> </w:t>
      </w:r>
      <w:r>
        <w:rPr>
          <w:b/>
          <w:bCs/>
        </w:rPr>
        <w:t xml:space="preserve">0.255</w:t>
      </w:r>
      <w:r>
        <w:t xml:space="preserve"> </w:t>
      </w:r>
      <w:r>
        <w:t xml:space="preserve">failed the</w:t>
      </w:r>
      <w:r>
        <w:t xml:space="preserve"> </w:t>
      </w:r>
      <w:r>
        <w:t xml:space="preserve">pre-registered rule fixed before fitting — ≤ 0.11 closes the gap, &gt; 0.13 is 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replication/czb/out/stage2_summary.md</w:t>
      </w:r>
      <w:r>
        <w:t xml:space="preserve">). The named reason: criticality-graded</w:t>
      </w:r>
      <w:r>
        <w:t xml:space="preserve"> </w:t>
      </w:r>
      <w:r>
        <w:t xml:space="preserve">responding is already present at C1–C2, where at most 0.05–0.15 s of post-onset evidence</w:t>
      </w:r>
      <w:r>
        <w:t xml:space="preserve"> </w:t>
      </w:r>
      <w:r>
        <w:t xml:space="preserve">exists under any plausible motor latency — anticipation from repeated exposure, which no</w:t>
      </w:r>
      <w:r>
        <w:t xml:space="preserve"> </w:t>
      </w:r>
      <w:r>
        <w:t xml:space="preserve">evidence-gated integrator can express.</w:t>
      </w:r>
    </w:p>
    <w:p>
      <w:pPr>
        <w:pStyle w:val="BlockText"/>
      </w:pPr>
      <w:r>
        <w:rPr>
          <w:b/>
          <w:bCs/>
        </w:rPr>
        <w:t xml:space="preserve">Discrepancy found while writing this document, not reconciled here.</w:t>
      </w:r>
      <w:r>
        <w:t xml:space="preserve"> </w:t>
      </w:r>
      <w:r>
        <w:rPr>
          <w:rStyle w:val="VerbatimChar"/>
        </w:rPr>
        <w:t xml:space="preserve">docs/active_inference_for_czb_assessment.md</w:t>
      </w:r>
      <w:r>
        <w:t xml:space="preserve"> </w:t>
      </w:r>
      <w:r>
        <w:t xml:space="preserve">§3.3 records the same verdict as</w:t>
      </w:r>
      <w:r>
        <w:t xml:space="preserve"> </w:t>
      </w:r>
      <w:r>
        <w:t xml:space="preserve">“best</w:t>
      </w:r>
      <w:r>
        <w:t xml:space="preserve"> </w:t>
      </w:r>
      <w:r>
        <w:t xml:space="preserve">0.178 vs 0.125”</w:t>
      </w:r>
      <w:r>
        <w:t xml:space="preserve"> </w:t>
      </w:r>
      <w:r>
        <w:t xml:space="preserve">in sample and</w:t>
      </w:r>
      <w:r>
        <w:t xml:space="preserve"> </w:t>
      </w:r>
      <w:r>
        <w:t xml:space="preserve">“held-out RMSE 0.267”</w:t>
      </w:r>
      <w:r>
        <w:t xml:space="preserve">. The tracked output</w:t>
      </w:r>
      <w:r>
        <w:t xml:space="preserve"> </w:t>
      </w:r>
      <w:r>
        <w:rPr>
          <w:rStyle w:val="VerbatimChar"/>
        </w:rPr>
        <w:t xml:space="preserve">replication/czb/out/stage2_summary.md</w:t>
      </w:r>
      <w:r>
        <w:t xml:space="preserve"> </w:t>
      </w:r>
      <w:r>
        <w:t xml:space="preserve">(v3, the final iteration at R.1) gives 0.169</w:t>
      </w:r>
      <w:r>
        <w:t xml:space="preserve"> </w:t>
      </w:r>
      <w:r>
        <w:t xml:space="preserve">and 0.255. The repository beats the document, so the numbers above are the output’s;</w:t>
      </w:r>
      <w:r>
        <w:t xml:space="preserve"> </w:t>
      </w:r>
      <w:r>
        <w:t xml:space="preserve">the assessment document appears to quote an earlier iteration and should be corrected</w:t>
      </w:r>
      <w:r>
        <w:t xml:space="preserve"> </w:t>
      </w:r>
      <w:r>
        <w:t xml:space="preserve">in place. Raised as query</w:t>
      </w:r>
      <w:r>
        <w:t xml:space="preserve"> </w:t>
      </w:r>
      <w:r>
        <w:rPr>
          <w:rStyle w:val="VerbatimChar"/>
        </w:rPr>
        <w:t xml:space="preserve">SCOPE.Q1</w:t>
      </w:r>
      <w:r>
        <w:t xml:space="preserve">. The verdict itself — FAIL, by a wide margin</w:t>
      </w:r>
      <w:r>
        <w:t xml:space="preserve"> </w:t>
      </w:r>
      <w:r>
        <w:t xml:space="preserve">against a rule of ≤ 0.11 — is unaffected either way.</w:t>
      </w:r>
    </w:p>
    <w:p>
      <w:pPr>
        <w:pStyle w:val="FirstParagraph"/>
      </w:pPr>
      <w:r>
        <w:rPr>
          <w:i/>
          <w:iCs/>
        </w:rPr>
        <w:t xml:space="preserve">Scope, narrowed at R.2 on Bontje et al. (2026):</w:t>
      </w:r>
      <w:r>
        <w:t xml:space="preserve"> </w:t>
      </w:r>
      <w:r>
        <w:t xml:space="preserve">the FAIL is a verdict on the</w:t>
      </w:r>
      <w:r>
        <w:t xml:space="preserve"> </w:t>
      </w:r>
      <w:r>
        <w:t xml:space="preserve">accumulator</w:t>
      </w:r>
      <w:r>
        <w:t xml:space="preserve"> </w:t>
      </w:r>
      <w:r>
        <w:rPr>
          <w:b/>
          <w:bCs/>
        </w:rPr>
        <w:t xml:space="preserve">we specified</w:t>
      </w:r>
      <w:r>
        <w:t xml:space="preserve"> </w:t>
      </w:r>
      <w:r>
        <w:t xml:space="preserve">— deficit-driven drift, non-leaky, fixed bound, on this</w:t>
      </w:r>
      <w:r>
        <w:t xml:space="preserve"> </w:t>
      </w:r>
      <w:r>
        <w:t xml:space="preserve">repeated-exposure stimulus set. The standard traffic architectures (looming or TTC drift,</w:t>
      </w:r>
      <w:r>
        <w:t xml:space="preserve"> </w:t>
      </w:r>
      <w:r>
        <w:t xml:space="preserve">leaky accumulation, collapsing bounds) were never tested, so the result licenses no claim</w:t>
      </w:r>
      <w:r>
        <w:t xml:space="preserve"> </w:t>
      </w:r>
      <w:r>
        <w:t xml:space="preserve">about evidence accumulation as a family.</w:t>
      </w:r>
    </w:p>
    <w:p>
      <w:pPr>
        <w:pStyle w:val="BodyText"/>
      </w:pPr>
      <w:r>
        <w:rPr>
          <w:b/>
          <w:bCs/>
        </w:rPr>
        <w:t xml:space="preserve">Failure 2: the boundary half’s axis (review gate R.2).</w:t>
      </w:r>
      <w:r>
        <w:t xml:space="preserve"> </w:t>
      </w:r>
      <w:r>
        <w:t xml:space="preserve">This is the decisive one.</w:t>
      </w:r>
    </w:p>
    <w:p>
      <w:pPr>
        <w:pStyle w:val="CaptionedFigure"/>
      </w:pPr>
      <w:r>
        <w:drawing>
          <wp:inline>
            <wp:extent cx="5334000" cy="2205403"/>
            <wp:effectExtent b="0" l="0" r="0" t="0"/>
            <wp:docPr descr="Which scalar orders the human response" title="" id="19" name="Picture"/>
            <a:graphic>
              <a:graphicData uri="http://schemas.openxmlformats.org/drawingml/2006/picture">
                <pic:pic>
                  <pic:nvPicPr>
                    <pic:cNvPr descr="ai_scope_figures/axis_scoreboar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Which scalar orders the human response</w:t>
      </w:r>
    </w:p>
    <w:p>
      <w:pPr>
        <w:pStyle w:val="BodyText"/>
      </w:pPr>
      <w:r>
        <w:t xml:space="preserve">On the second cut-in study’s 288 post-onset cells, with matched three-parameter threshold</w:t>
      </w:r>
      <w:r>
        <w:t xml:space="preserve"> </w:t>
      </w:r>
      <w:r>
        <w:t xml:space="preserve">models (lapse + probit) on identical leave-one-starting-TTC-out folds, and with models,</w:t>
      </w:r>
      <w:r>
        <w:t xml:space="preserve"> </w:t>
      </w:r>
      <w:r>
        <w:t xml:space="preserve">folds and decision rule committed before the run at commit e9203c6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replication/czb/out/cutin2_field_vs_gap.md</w:t>
      </w:r>
      <w:r>
        <w:t xml:space="preserve">): the field scores held-out wRMSE</w:t>
      </w:r>
      <w:r>
        <w:t xml:space="preserve"> </w:t>
      </w:r>
      <w:r>
        <w:rPr>
          <w:b/>
          <w:bCs/>
        </w:rPr>
        <w:t xml:space="preserve">0.347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worse than chance</w:t>
      </w:r>
      <w:r>
        <w:t xml:space="preserve">, 0.320 — against a log-gap threshold’s</w:t>
      </w:r>
      <w:r>
        <w:t xml:space="preserve"> </w:t>
      </w:r>
      <w:r>
        <w:rPr>
          <w:b/>
          <w:bCs/>
        </w:rPr>
        <w:t xml:space="preserve">0.152</w:t>
      </w:r>
      <w:r>
        <w:t xml:space="preserve">, with the</w:t>
      </w:r>
      <w:r>
        <w:t xml:space="preserve"> </w:t>
      </w:r>
      <w:r>
        <w:t xml:space="preserve">sampling-noise floor at 0.118. The pre-registered rule fired at dRMSE = +0.195. The</w:t>
      </w:r>
      <w:r>
        <w:t xml:space="preserve"> </w:t>
      </w:r>
      <w:r>
        <w:t xml:space="preserve">verdict is robust to excluding the 20 non-modal attention-check participants (+0.202) and</w:t>
      </w:r>
      <w:r>
        <w:t xml:space="preserve"> </w:t>
      </w:r>
      <w:r>
        <w:t xml:space="preserve">to repairing a trace-noise handicap found after the registered run (0.356).</w:t>
      </w:r>
    </w:p>
    <w:p>
      <w:pPr>
        <w:pStyle w:val="BodyText"/>
      </w:pPr>
      <w:r>
        <w:t xml:space="preserve">Why the earlier evidence did not catch this: in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cut-in study relative speed</w:t>
      </w:r>
      <w:r>
        <w:t xml:space="preserve"> </w:t>
      </w:r>
      <w:r>
        <w:t xml:space="preserve">is constant across all 18 cells, so correlation(gap, TTC) = 1.0000 — the longitudinal</w:t>
      </w:r>
      <w:r>
        <w:t xml:space="preserve"> </w:t>
      </w:r>
      <w:r>
        <w:t xml:space="preserve">dimension has one degree of freedom, and the field’s encouraging 0.90 correlation was</w:t>
      </w:r>
      <w:r>
        <w:t xml:space="preserve"> </w:t>
      </w:r>
      <w:r>
        <w:t xml:space="preserve">equally consistent with a driver simply thresholding the gap. The second study breaks that</w:t>
      </w:r>
      <w:r>
        <w:t xml:space="preserve"> </w:t>
      </w:r>
      <w:r>
        <w:t xml:space="preserve">collinearity over a six-fold range of gap, and the field loses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replication/czb/out/cutin2_scope.md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Consequence now in force:</w:t>
      </w:r>
      <w:r>
        <w:t xml:space="preserve"> </w:t>
      </w:r>
      <w:r>
        <w:t xml:space="preserve">no document may describe the field as validated against</w:t>
      </w:r>
      <w:r>
        <w:t xml:space="preserve"> </w:t>
      </w:r>
      <w:r>
        <w:t xml:space="preserve">human data on the longitudinal dimension.</w:t>
      </w:r>
    </w:p>
    <w:bookmarkEnd w:id="21"/>
    <w:bookmarkStart w:id="25" w:name="what-survived"/>
    <w:p>
      <w:pPr>
        <w:pStyle w:val="Heading2"/>
      </w:pPr>
      <w:r>
        <w:t xml:space="preserve">4 What survived</w:t>
      </w:r>
    </w:p>
    <w:p>
      <w:pPr>
        <w:pStyle w:val="CaptionedFigure"/>
      </w:pPr>
      <w:r>
        <w:drawing>
          <wp:inline>
            <wp:extent cx="5334000" cy="2307980"/>
            <wp:effectExtent b="0" l="0" r="0" t="0"/>
            <wp:docPr descr="What survived: one comfort-zone level per driver" title="" id="23" name="Picture"/>
            <a:graphic>
              <a:graphicData uri="http://schemas.openxmlformats.org/drawingml/2006/picture">
                <pic:pic>
                  <pic:nvPicPr>
                    <pic:cNvPr descr="ai_scope_figures/trait_shared_fra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survived: one comfort-zone level per driver</w:t>
      </w:r>
    </w:p>
    <w:p>
      <w:pPr>
        <w:pStyle w:val="BodyText"/>
      </w:pPr>
      <w:r>
        <w:t xml:space="preserve">The gate’s own pre-commitment was that if the field lost, the project’s claim would be</w:t>
      </w:r>
      <w:r>
        <w:t xml:space="preserve"> </w:t>
      </w:r>
      <w:r>
        <w:t xml:space="preserve">restated around what survives. Four things 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driver carries one comfort-zone level across scenarios.</w:t>
      </w:r>
      <w:r>
        <w:t xml:space="preserve"> </w:t>
      </w:r>
      <w:r>
        <w:t xml:space="preserve">Per-driver</w:t>
      </w:r>
      <w:r>
        <w:t xml:space="preserve"> </w:t>
      </w:r>
      <w:r>
        <w:t xml:space="preserve">criticality-adjusted propensity correlates +0.50 to +0.74 across all six scenario</w:t>
      </w:r>
      <w:r>
        <w:t xml:space="preserve"> </w:t>
      </w:r>
      <w:r>
        <w:t xml:space="preserve">pairs, which is 0.53–0.78 of the split-half reliability ceiling, mean</w:t>
      </w:r>
      <w:r>
        <w:t xml:space="preserve"> </w:t>
      </w:r>
      <w:r>
        <w:rPr>
          <w:b/>
          <w:bCs/>
        </w:rPr>
        <w:t xml:space="preserve">0.69</w:t>
      </w:r>
      <w:r>
        <w:t xml:space="preserve"> </w:t>
      </w:r>
      <w:r>
        <w:t xml:space="preserve">— and</w:t>
      </w:r>
      <w:r>
        <w:t xml:space="preserve"> </w:t>
      </w:r>
      <w:r>
        <w:t xml:space="preserve">this is measured with</w:t>
      </w:r>
      <w:r>
        <w:t xml:space="preserve"> </w:t>
      </w:r>
      <w:r>
        <w:rPr>
          <w:b/>
          <w:bCs/>
        </w:rPr>
        <w:t xml:space="preserve">no field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replication/czb/out/cross_scenario_consistency.md</w:t>
      </w:r>
      <w:r>
        <w:t xml:space="preserve">). About a third of reliable</w:t>
      </w:r>
      <w:r>
        <w:t xml:space="preserve"> </w:t>
      </w:r>
      <w:r>
        <w:t xml:space="preserve">per-driver variance is scenario-specific, which caps every transfer test that will</w:t>
      </w:r>
      <w:r>
        <w:t xml:space="preserve"> </w:t>
      </w:r>
      <w:r>
        <w:t xml:space="preserve">ever be run on this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boundary distribution is well estimated on its own scale, and stable.</w:t>
      </w:r>
      <w:r>
        <w:t xml:space="preserve"> </w:t>
      </w:r>
      <w:r>
        <w:t xml:space="preserve">Under</w:t>
      </w:r>
      <w:r>
        <w:t xml:space="preserve"> </w:t>
      </w:r>
      <w:r>
        <w:t xml:space="preserve">the current full specification the 50th/80th/95th percentiles moved by</w:t>
      </w:r>
      <w:r>
        <w:t xml:space="preserve"> </w:t>
      </w:r>
      <w:r>
        <w:t xml:space="preserve">+0.9% / +0.2% / −0.5% when the covariate defect was fixed and k changed to 12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replication/czb/out/stage1_summary.md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works once the per-scenario lapse is freed</w:t>
      </w:r>
      <w:r>
        <w:t xml:space="preserve"> </w:t>
      </w:r>
      <w:r>
        <w:t xml:space="preserve">(0.136 against chance 0.158,</w:t>
      </w:r>
      <w:r>
        <w:t xml:space="preserve"> </w:t>
      </w:r>
      <w:r>
        <w:t xml:space="preserve">refit ceiling 0.120;</w:t>
      </w:r>
      <w:r>
        <w:t xml:space="preserve"> </w:t>
      </w:r>
      <w:r>
        <w:rPr>
          <w:rStyle w:val="VerbatimChar"/>
        </w:rPr>
        <w:t xml:space="preserve">replication/czb/out/transfer_overtake_summary.md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best within-scenario criticality axis is the longitudinal gap</w:t>
      </w:r>
      <w:r>
        <w:t xml:space="preserve"> </w:t>
      </w:r>
      <w:r>
        <w:t xml:space="preserve">(log scale),</w:t>
      </w:r>
      <w:r>
        <w:t xml:space="preserve"> </w:t>
      </w:r>
      <w:r>
        <w:t xml:space="preserve">with TTC close behind and required deceleration nowhere — a statement about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demand-based axis, not only ours.</w:t>
      </w:r>
    </w:p>
    <w:p>
      <w:pPr>
        <w:pStyle w:val="FirstParagraph"/>
      </w:pPr>
      <w:r>
        <w:t xml:space="preserve">The recommended wording, from the gate record:</w:t>
      </w:r>
      <w:r>
        <w:t xml:space="preserve"> </w:t>
      </w:r>
      <w:r>
        <w:rPr>
          <w:i/>
          <w:iCs/>
        </w:rPr>
        <w:t xml:space="preserve">each driver carries a scalar comfort-zone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 that is substantially shared across scenarios; the right criticality axis is an</w:t>
      </w:r>
      <w:r>
        <w:rPr>
          <w:i/>
          <w:iCs/>
        </w:rPr>
        <w:t xml:space="preserve"> </w:t>
      </w:r>
      <w:r>
        <w:rPr>
          <w:i/>
          <w:iCs/>
        </w:rPr>
        <w:t xml:space="preserve">open empirical question on which simple scene scalars currently beat the active-inference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preference field, whose kinematic content is ruled out as fitted.</w:t>
      </w:r>
    </w:p>
    <w:bookmarkEnd w:id="25"/>
    <w:bookmarkStart w:id="29" w:name="what-the-method-now-actually-consists-of"/>
    <w:p>
      <w:pPr>
        <w:pStyle w:val="Heading2"/>
      </w:pPr>
      <w:r>
        <w:t xml:space="preserve">5 What the method now actually consists of</w:t>
      </w:r>
    </w:p>
    <w:p>
      <w:pPr>
        <w:pStyle w:val="CaptionedFigure"/>
      </w:pPr>
      <w:r>
        <w:drawing>
          <wp:inline>
            <wp:extent cx="5334000" cy="2817253"/>
            <wp:effectExtent b="0" l="0" r="0" t="0"/>
            <wp:docPr descr="What the method is made of, by status" title="" id="27" name="Picture"/>
            <a:graphic>
              <a:graphicData uri="http://schemas.openxmlformats.org/drawingml/2006/picture">
                <pic:pic>
                  <pic:nvPicPr>
                    <pic:cNvPr descr="ai_scope_figures/paradigm_composi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the method is made of, by status</w:t>
      </w:r>
    </w:p>
    <w:p>
      <w:pPr>
        <w:pStyle w:val="BodyText"/>
      </w:pPr>
      <w:r>
        <w:t xml:space="preserve">Read as a list of paradigms rather than as a narrative, the project is now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Psychophysics / signal detection</w:t>
            </w:r>
            <w:r>
              <w:t xml:space="preserve"> </w:t>
            </w:r>
            <w:r>
              <w:t xml:space="preserve">— probit threshold plus a per-trial lapse rate</w:t>
            </w:r>
          </w:p>
        </w:tc>
        <w:tc>
          <w:tcPr/>
          <w:p>
            <w:pPr>
              <w:pStyle w:val="Compact"/>
            </w:pPr>
            <w:r>
              <w:t xml:space="preserve">the estimator behind every fitted number in the project</w:t>
            </w:r>
          </w:p>
        </w:tc>
        <w:tc>
          <w:tcPr/>
          <w:p>
            <w:pPr>
              <w:pStyle w:val="Compact"/>
            </w:pPr>
            <w:r>
              <w:t xml:space="preserve">load-bearing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Bayesian latent-trait modeling</w:t>
            </w:r>
            <w:r>
              <w:t xml:space="preserve"> </w:t>
            </w:r>
            <w:r>
              <w:t xml:space="preserve">— one shrunk random effect per driver, marginal quadrature plus Laplace</w:t>
            </w:r>
          </w:p>
        </w:tc>
        <w:tc>
          <w:tcPr/>
          <w:p>
            <w:pPr>
              <w:pStyle w:val="Compact"/>
            </w:pPr>
            <w:r>
              <w:t xml:space="preserve">produces the population whose percentiles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deliverable</w:t>
            </w:r>
          </w:p>
        </w:tc>
        <w:tc>
          <w:tcPr/>
          <w:p>
            <w:pPr>
              <w:pStyle w:val="Compact"/>
            </w:pPr>
            <w:r>
              <w:t xml:space="preserve">load-bearing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Held-out model comparison with pre-registered decision rules</w:t>
            </w:r>
            <w:r>
              <w:t xml:space="preserve"> </w:t>
            </w:r>
            <w:r>
              <w:t xml:space="preserve">— leave-one-condition-out, LOPO</w:t>
            </w:r>
          </w:p>
        </w:tc>
        <w:tc>
          <w:tcPr/>
          <w:p>
            <w:pPr>
              <w:pStyle w:val="Compact"/>
            </w:pPr>
            <w:r>
              <w:t xml:space="preserve">the machinery that does the ruling; it is what killed both halves of the dual-role claim</w:t>
            </w:r>
          </w:p>
        </w:tc>
        <w:tc>
          <w:tcPr/>
          <w:p>
            <w:pPr>
              <w:pStyle w:val="Compact"/>
            </w:pPr>
            <w:r>
              <w:t xml:space="preserve">load-bearing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Comfort-zone boundary theory</w:t>
            </w:r>
            <w:r>
              <w:t xml:space="preserve"> </w:t>
            </w:r>
            <w:r>
              <w:t xml:space="preserve">(the Näätänen &amp; Summala zero-risk lineage)</w:t>
            </w:r>
          </w:p>
        </w:tc>
        <w:tc>
          <w:tcPr/>
          <w:p>
            <w:pPr>
              <w:pStyle w:val="Compact"/>
            </w:pPr>
            <w:r>
              <w:t xml:space="preserve">defines the object being measured and why a scalar level is meaningful at all</w:t>
            </w:r>
          </w:p>
        </w:tc>
        <w:tc>
          <w:tcPr/>
          <w:p>
            <w:pPr>
              <w:pStyle w:val="Compact"/>
            </w:pPr>
            <w:r>
              <w:t xml:space="preserve">load-bearing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Kinematic surrogate measures</w:t>
            </w:r>
            <w:r>
              <w:t xml:space="preserve"> </w:t>
            </w:r>
            <w:r>
              <w:t xml:space="preserve">— gap, TTC, required deceleration</w:t>
            </w:r>
          </w:p>
        </w:tc>
        <w:tc>
          <w:tcPr/>
          <w:p>
            <w:pPr>
              <w:pStyle w:val="Compact"/>
            </w:pPr>
            <w:r>
              <w:t xml:space="preserve">currently the best within-scenario criticality axis</w:t>
            </w:r>
          </w:p>
        </w:tc>
        <w:tc>
          <w:tcPr/>
          <w:p>
            <w:pPr>
              <w:pStyle w:val="Compact"/>
            </w:pPr>
            <w:r>
              <w:t xml:space="preserve">comparator, currently winning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Per-scenario 2D state rules</w:t>
            </w:r>
          </w:p>
        </w:tc>
        <w:tc>
          <w:tcPr/>
          <w:p>
            <w:pPr>
              <w:pStyle w:val="Compact"/>
            </w:pPr>
            <w:r>
              <w:t xml:space="preserve">how B.2 (truck) and B.3 (LTAP) are now built, per Jonas’s ruling of 2026-08-29</w:t>
            </w:r>
          </w:p>
        </w:tc>
        <w:tc>
          <w:tcPr/>
          <w:p>
            <w:pPr>
              <w:pStyle w:val="Compact"/>
            </w:pPr>
            <w:r>
              <w:t xml:space="preserve">comparator class,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CZB ellipse</w:t>
            </w:r>
            <w:r>
              <w:t xml:space="preserve"> </w:t>
            </w:r>
            <w:r>
              <w:t xml:space="preserve">— joint Mahalanobis percentile over per-scenario observables</w:t>
            </w:r>
          </w:p>
        </w:tc>
        <w:tc>
          <w:tcPr/>
          <w:p>
            <w:pPr>
              <w:pStyle w:val="Compact"/>
            </w:pPr>
            <w:r>
              <w:t xml:space="preserve">promoted from comparator to deliverable candidate by the same ruling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Risk-field models</w:t>
            </w:r>
            <w:r>
              <w:t xml:space="preserve"> </w:t>
            </w:r>
            <w:r>
              <w:t xml:space="preserve">(Kolekar et al.’s DRF)</w:t>
            </w:r>
          </w:p>
        </w:tc>
        <w:tc>
          <w:tcPr/>
          <w:p>
            <w:pPr>
              <w:pStyle w:val="Compact"/>
            </w:pPr>
            <w:r>
              <w:t xml:space="preserve">an independently validated instance of</w:t>
            </w:r>
            <w:r>
              <w:t xml:space="preserve"> </w:t>
            </w:r>
            <w:r>
              <w:t xml:space="preserve">“keep one scalar below a threshold”</w:t>
            </w:r>
          </w:p>
        </w:tc>
        <w:tc>
          <w:tcPr/>
          <w:p>
            <w:pPr>
              <w:pStyle w:val="Compact"/>
            </w:pPr>
            <w:r>
              <w:t xml:space="preserve">comparator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inference: preference field as criticality axis</w:t>
            </w:r>
          </w:p>
        </w:tc>
        <w:tc>
          <w:tcPr/>
          <w:p>
            <w:pPr>
              <w:pStyle w:val="Compact"/>
            </w:pPr>
            <w:r>
              <w:t xml:space="preserve">ruled against on its own scenario, pre-registered</w:t>
            </w:r>
          </w:p>
        </w:tc>
        <w:tc>
          <w:tcPr/>
          <w:p>
            <w:pPr>
              <w:pStyle w:val="Compact"/>
            </w:pPr>
            <w:r>
              <w:t xml:space="preserve">falsified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inference: deficit-driven evidence accumulation</w:t>
            </w:r>
          </w:p>
        </w:tc>
        <w:tc>
          <w:tcPr/>
          <w:p>
            <w:pPr>
              <w:pStyle w:val="Compact"/>
            </w:pPr>
            <w:r>
              <w:t xml:space="preserve">FAIL at R.1, as specified</w:t>
            </w:r>
          </w:p>
        </w:tc>
        <w:tc>
          <w:tcPr/>
          <w:p>
            <w:pPr>
              <w:pStyle w:val="Compact"/>
            </w:pPr>
            <w:r>
              <w:t xml:space="preserve">falsified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inference: EFE planning, epistemic value, belief updating</w:t>
            </w:r>
          </w:p>
        </w:tc>
        <w:tc>
          <w:tcPr/>
          <w:p>
            <w:pPr>
              <w:pStyle w:val="Compact"/>
            </w:pPr>
            <w:r>
              <w:t xml:space="preserve">present in the repository’s closed-loop agent; absent from the deliverable</w:t>
            </w:r>
          </w:p>
        </w:tc>
        <w:tc>
          <w:tcPr/>
          <w:p>
            <w:pPr>
              <w:pStyle w:val="Compact"/>
            </w:pPr>
            <w:r>
              <w:t xml:space="preserve">switched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Counterfactual crash-causation simulation</w:t>
            </w:r>
            <w:r>
              <w:t xml:space="preserve"> </w:t>
            </w:r>
            <w:r>
              <w:t xml:space="preserve">(Bärgman et al. 2024 mechanisms, Wu et al. ROPE equivalence)</w:t>
            </w:r>
          </w:p>
        </w:tc>
        <w:tc>
          <w:tcPr/>
          <w:p>
            <w:pPr>
              <w:pStyle w:val="Compact"/>
            </w:pPr>
            <w:r>
              <w:t xml:space="preserve">a separate, complete workstream that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run the full active-inference loop</w:t>
            </w:r>
          </w:p>
        </w:tc>
        <w:tc>
          <w:tcPr/>
          <w:p>
            <w:pPr>
              <w:pStyle w:val="Compact"/>
            </w:pPr>
            <w:r>
              <w:t xml:space="preserve">complete, parallel</w:t>
            </w:r>
          </w:p>
        </w:tc>
      </w:tr>
    </w:tbl>
    <w:p>
      <w:pPr>
        <w:pStyle w:val="BodyText"/>
      </w:pPr>
      <w:r>
        <w:t xml:space="preserve">The one-line summary:</w:t>
      </w:r>
      <w:r>
        <w:t xml:space="preserve"> </w:t>
      </w:r>
      <w:r>
        <w:rPr>
          <w:b/>
          <w:bCs/>
        </w:rPr>
        <w:t xml:space="preserve">the deliverable is a psychometric measurement instrument, not an</w:t>
      </w:r>
      <w:r>
        <w:rPr>
          <w:b/>
          <w:bCs/>
        </w:rPr>
        <w:t xml:space="preserve"> </w:t>
      </w:r>
      <w:r>
        <w:rPr>
          <w:b/>
          <w:bCs/>
        </w:rPr>
        <w:t xml:space="preserve">active-inference model.</w:t>
      </w:r>
      <w:r>
        <w:t xml:space="preserve"> </w:t>
      </w:r>
      <w:r>
        <w:t xml:space="preserve">Active inference supplied the candidate axis, a principled</w:t>
      </w:r>
      <w:r>
        <w:t xml:space="preserve"> </w:t>
      </w:r>
      <w:r>
        <w:t xml:space="preserve">zero, and the vocabulary; the axis then entered a competition against simple scene</w:t>
      </w:r>
      <w:r>
        <w:t xml:space="preserve"> </w:t>
      </w:r>
      <w:r>
        <w:t xml:space="preserve">scalars on a design built to separate them, and lost.</w:t>
      </w:r>
    </w:p>
    <w:p>
      <w:pPr>
        <w:pStyle w:val="BodyText"/>
      </w:pPr>
      <w:r>
        <w:t xml:space="preserve">That is not a failed project. A pre-registered falsification of a plausible,</w:t>
      </w:r>
      <w:r>
        <w:t xml:space="preserve"> </w:t>
      </w:r>
      <w:r>
        <w:t xml:space="preserve">theoretically-motivated construct — run on a design specifically built to discriminate,</w:t>
      </w:r>
      <w:r>
        <w:t xml:space="preserve"> </w:t>
      </w:r>
      <w:r>
        <w:t xml:space="preserve">against matched-complexity alternatives, with the noise floor measured — is a publishable</w:t>
      </w:r>
      <w:r>
        <w:t xml:space="preserve"> </w:t>
      </w:r>
      <w:r>
        <w:t xml:space="preserve">result in its own right, and the trait finding is a positive one that no field was needed</w:t>
      </w:r>
      <w:r>
        <w:t xml:space="preserve"> </w:t>
      </w:r>
      <w:r>
        <w:t xml:space="preserve">to establish.</w:t>
      </w:r>
    </w:p>
    <w:bookmarkEnd w:id="29"/>
    <w:bookmarkStart w:id="33" w:name="X0d2295018bef63b1d3e41d123db9614ce4e6cb7"/>
    <w:p>
      <w:pPr>
        <w:pStyle w:val="Heading2"/>
      </w:pPr>
      <w:r>
        <w:t xml:space="preserve">6 The open question, and why it is the right one to ask next</w:t>
      </w:r>
    </w:p>
    <w:p>
      <w:pPr>
        <w:pStyle w:val="CaptionedFigure"/>
      </w:pPr>
      <w:r>
        <w:drawing>
          <wp:inline>
            <wp:extent cx="5334000" cy="2408903"/>
            <wp:effectExtent b="0" l="0" r="0" t="0"/>
            <wp:docPr descr="Every surprise measure needs a reference distribution" title="" id="31" name="Picture"/>
            <a:graphic>
              <a:graphicData uri="http://schemas.openxmlformats.org/drawingml/2006/picture">
                <pic:pic>
                  <pic:nvPicPr>
                    <pic:cNvPr descr="ai_scope_figures/reference_cru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surprise measure needs a reference distribution</w:t>
      </w:r>
    </w:p>
    <w:p>
      <w:pPr>
        <w:pStyle w:val="BodyText"/>
      </w:pPr>
      <w:r>
        <w:t xml:space="preserve">Jonas’s ruling on R2.Q5 left the positioning unsettled pending one exploration:</w:t>
      </w:r>
      <w:r>
        <w:t xml:space="preserve"> </w:t>
      </w:r>
      <w:r>
        <w:rPr>
          <w:b/>
          <w:bCs/>
        </w:rPr>
        <w:t xml:space="preserve">can the</w:t>
      </w:r>
      <w:r>
        <w:rPr>
          <w:b/>
          <w:bCs/>
        </w:rPr>
        <w:t xml:space="preserve"> </w:t>
      </w:r>
      <w:r>
        <w:rPr>
          <w:b/>
          <w:bCs/>
        </w:rPr>
        <w:t xml:space="preserve">surprise elements stand on their own as a scenario-agnostic metric, even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 field dropped?</w:t>
      </w:r>
    </w:p>
    <w:p>
      <w:pPr>
        <w:pStyle w:val="BodyText"/>
      </w:pPr>
      <w:r>
        <w:t xml:space="preserve">The crux, and the first task of that exploration:</w:t>
      </w:r>
      <w:r>
        <w:t xml:space="preserve"> </w:t>
      </w:r>
      <w:r>
        <w:rPr>
          <w:b/>
          <w:bCs/>
        </w:rPr>
        <w:t xml:space="preserve">every surprise measure needs a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distribution to be surprised relative to.</w:t>
      </w:r>
      <w:r>
        <w:t xml:space="preserve"> </w:t>
      </w:r>
      <w:r>
        <w:t xml:space="preserve">In this project the preference field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that reference. So</w:t>
      </w:r>
      <w:r>
        <w:t xml:space="preserve"> </w:t>
      </w:r>
      <w:r>
        <w:t xml:space="preserve">“surprise without the field”</w:t>
      </w:r>
      <w:r>
        <w:t xml:space="preserve"> </w:t>
      </w:r>
      <w:r>
        <w:t xml:space="preserve">is not yet a specification — it is a</w:t>
      </w:r>
      <w:r>
        <w:t xml:space="preserve"> </w:t>
      </w:r>
      <w:r>
        <w:t xml:space="preserve">slot with nothing in it, and naming what fills the slot has to come before anything is</w:t>
      </w:r>
      <w:r>
        <w:t xml:space="preserve"> </w:t>
      </w:r>
      <w:r>
        <w:t xml:space="preserve">measured. What is falsified is the preference-field deficit as the criticality axis, not</w:t>
      </w:r>
      <w:r>
        <w:t xml:space="preserve"> </w:t>
      </w:r>
      <w:r>
        <w:t xml:space="preserve">the surprise family and not</w:t>
      </w:r>
      <w:r>
        <w:t xml:space="preserve"> </w:t>
      </w:r>
      <w:r>
        <w:rPr>
          <w:rStyle w:val="VerbatimChar"/>
        </w:rPr>
        <w:t xml:space="preserve">src/surprise</w:t>
      </w:r>
      <w:r>
        <w:t xml:space="preserve">, which is validated and interface-agnostic by</w:t>
      </w:r>
      <w:r>
        <w:t xml:space="preserve"> </w:t>
      </w:r>
      <w:r>
        <w:t xml:space="preserve">construction and works unchanged on Gaussians, mixtures, particle sets and categoricals.</w:t>
      </w:r>
    </w:p>
    <w:p>
      <w:pPr>
        <w:pStyle w:val="BodyText"/>
      </w:pPr>
      <w:r>
        <w:t xml:space="preserve">Two candidates worth taking seriously, both of which relocate the question from</w:t>
      </w:r>
      <w:r>
        <w:t xml:space="preserve"> </w:t>
      </w:r>
      <w:r>
        <w:rPr>
          <w:i/>
          <w:iCs/>
        </w:rPr>
        <w:t xml:space="preserve">surprise</w:t>
      </w:r>
      <w:r>
        <w:rPr>
          <w:i/>
          <w:iCs/>
        </w:rPr>
        <w:t xml:space="preserve"> </w:t>
      </w:r>
      <w:r>
        <w:rPr>
          <w:i/>
          <w:iCs/>
        </w:rPr>
        <w:t xml:space="preserve">about one’s own preferred state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surprise about the world</w:t>
      </w:r>
      <w:r>
        <w:t xml:space="preserve">: a learned predictive model</w:t>
      </w:r>
      <w:r>
        <w:t xml:space="preserve"> </w:t>
      </w:r>
      <w:r>
        <w:t xml:space="preserve">of normal driving for this population (which is what naturalistic data would be for), and</w:t>
      </w:r>
      <w:r>
        <w:t xml:space="preserve"> </w:t>
      </w:r>
      <w:r>
        <w:t xml:space="preserve">a per-driver predictive belief. Both are already served by the library’s other interfaces.</w:t>
      </w:r>
    </w:p>
    <w:p>
      <w:pPr>
        <w:pStyle w:val="BodyText"/>
      </w:pPr>
      <w:r>
        <w:rPr>
          <w:b/>
          <w:bCs/>
        </w:rPr>
        <w:t xml:space="preserve">The three live threads, in the order the handover queues them</w:t>
      </w:r>
      <w:r>
        <w:t xml:space="preserve">: the B.3.v2 LTAP</w:t>
      </w:r>
      <w:r>
        <w:t xml:space="preserve"> </w:t>
      </w:r>
      <w:r>
        <w:t xml:space="preserve">construction note written for the comparator class; a design note for the CZB ellipse; and</w:t>
      </w:r>
      <w:r>
        <w:t xml:space="preserve"> </w:t>
      </w:r>
      <w:r>
        <w:t xml:space="preserve">this exploration.</w:t>
      </w:r>
    </w:p>
    <w:bookmarkEnd w:id="33"/>
    <w:bookmarkStart w:id="34" w:name="where-i-may-be-wrong"/>
    <w:p>
      <w:pPr>
        <w:pStyle w:val="Heading2"/>
      </w:pPr>
      <w:r>
        <w:t xml:space="preserve">7 Where I may be wrong</w:t>
      </w:r>
    </w:p>
    <w:p>
      <w:pPr>
        <w:pStyle w:val="FirstParagraph"/>
      </w:pPr>
      <w:r>
        <w:t xml:space="preserve">Stated as opinions, since this document interprets rather than measures.</w:t>
      </w:r>
    </w:p>
    <w:p>
      <w:pPr>
        <w:pStyle w:val="Compact"/>
        <w:numPr>
          <w:ilvl w:val="0"/>
          <w:numId w:val="1002"/>
        </w:numPr>
      </w:pPr>
      <w:r>
        <w:t xml:space="preserve">The R.2 verdict is about the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kinematic content of the field as fitted,</w:t>
      </w:r>
      <w:r>
        <w:t xml:space="preserve"> </w:t>
      </w:r>
      <w:r>
        <w:t xml:space="preserve">with the lane gate engaged and k = 12. It does not test the lateral machinery (which</w:t>
      </w:r>
      <w:r>
        <w:t xml:space="preserve"> </w:t>
      </w:r>
      <w:r>
        <w:t xml:space="preserve">failed separately on the overtake, B.1), and it does not rule out a differently</w:t>
      </w:r>
      <w:r>
        <w:t xml:space="preserve"> </w:t>
      </w:r>
      <w:r>
        <w:t xml:space="preserve">constructed demand measure — though required deceleration’s showing makes that</w:t>
      </w:r>
      <w:r>
        <w:t xml:space="preserve"> </w:t>
      </w:r>
      <w:r>
        <w:t xml:space="preserve">unpromising on this data.</w:t>
      </w:r>
    </w:p>
    <w:p>
      <w:pPr>
        <w:pStyle w:val="Compact"/>
        <w:numPr>
          <w:ilvl w:val="0"/>
          <w:numId w:val="1002"/>
        </w:numPr>
      </w:pPr>
      <w:r>
        <w:t xml:space="preserve">Calling the project</w:t>
      </w:r>
      <w:r>
        <w:t xml:space="preserve"> </w:t>
      </w:r>
      <w:r>
        <w:t xml:space="preserve">“a psychometric instrument”</w:t>
      </w:r>
      <w:r>
        <w:t xml:space="preserve"> </w:t>
      </w:r>
      <w:r>
        <w:t xml:space="preserve">is my framing, not a gate decision. A</w:t>
      </w:r>
      <w:r>
        <w:t xml:space="preserve"> </w:t>
      </w:r>
      <w:r>
        <w:t xml:space="preserve">reasonable alternative framing is that it is a</w:t>
      </w:r>
      <w:r>
        <w:t xml:space="preserve"> </w:t>
      </w:r>
      <w:r>
        <w:rPr>
          <w:i/>
          <w:iCs/>
        </w:rPr>
        <w:t xml:space="preserve">comparative study of criticality axes</w:t>
      </w:r>
      <w:r>
        <w:t xml:space="preserve"> </w:t>
      </w:r>
      <w:r>
        <w:t xml:space="preserve">with a psychometric estimator, which puts the emphasis on the competition rather than on</w:t>
      </w:r>
      <w:r>
        <w:t xml:space="preserve"> </w:t>
      </w:r>
      <w:r>
        <w:t xml:space="preserve">the measurement.</w:t>
      </w:r>
    </w:p>
    <w:p>
      <w:pPr>
        <w:pStyle w:val="Compact"/>
        <w:numPr>
          <w:ilvl w:val="0"/>
          <w:numId w:val="1002"/>
        </w:numPr>
      </w:pPr>
      <w:r>
        <w:t xml:space="preserve">The claim that active inference contributed</w:t>
      </w:r>
      <w:r>
        <w:t xml:space="preserve"> </w:t>
      </w:r>
      <w:r>
        <w:t xml:space="preserve">“the framing, the pipeline and the</w:t>
      </w:r>
      <w:r>
        <w:t xml:space="preserve"> </w:t>
      </w:r>
      <w:r>
        <w:t xml:space="preserve">falsification”</w:t>
      </w:r>
      <w:r>
        <w:t xml:space="preserve"> </w:t>
      </w:r>
      <w:r>
        <w:t xml:space="preserve">is a positioning argument, and R2.Q5 is precisely the question of whether</w:t>
      </w:r>
      <w:r>
        <w:t xml:space="preserve"> </w:t>
      </w:r>
      <w:r>
        <w:t xml:space="preserve">it holds. It should not be treated as settled here.</w:t>
      </w:r>
    </w:p>
    <w:p>
      <w:pPr>
        <w:pStyle w:val="Compact"/>
        <w:numPr>
          <w:ilvl w:val="0"/>
          <w:numId w:val="1002"/>
        </w:numPr>
      </w:pPr>
      <w:r>
        <w:t xml:space="preserve">Everything about percentiles rests on 43 crowdsourced participants watching clips in one</w:t>
      </w:r>
      <w:r>
        <w:t xml:space="preserve"> </w:t>
      </w:r>
      <w:r>
        <w:t xml:space="preserve">paradigm. That supports method development and contrast; it does not support setting a</w:t>
      </w:r>
      <w:r>
        <w:t xml:space="preserve"> </w:t>
      </w:r>
      <w:r>
        <w:t xml:space="preserve">fleet trigger.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Bontje, F., van Waveren, F., van Maanen, L., Nallapu, B., Markkula, G., &amp; Zgonnikov, A.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Knowing when to move: Evidence accumulation models of human behavior in traffic</w:t>
      </w:r>
      <w:r>
        <w:t xml:space="preserve"> </w:t>
      </w:r>
      <w:r>
        <w:t xml:space="preserve">(arXiv:2606.00727). arXiv. https://arxiv.org/abs/2606.00727</w:t>
      </w:r>
    </w:p>
    <w:p>
      <w:pPr>
        <w:pStyle w:val="BodyText"/>
      </w:pPr>
      <w:r>
        <w:t xml:space="preserve">Kolekar, S., de Winter, J., &amp; Abbink, D. (2020). Human-like driving behaviour emerges from</w:t>
      </w:r>
      <w:r>
        <w:t xml:space="preserve"> </w:t>
      </w:r>
      <w:r>
        <w:t xml:space="preserve">a risk-based driver model.</w:t>
      </w:r>
      <w:r>
        <w:t xml:space="preserve"> </w:t>
      </w:r>
      <w:r>
        <w:rPr>
          <w:i/>
          <w:iCs/>
        </w:rPr>
        <w:t xml:space="preserve">Nature Communications, 11</w:t>
      </w:r>
      <w:r>
        <w:t xml:space="preserve">, Article 4850.</w:t>
      </w:r>
      <w:r>
        <w:t xml:space="preserve"> </w:t>
      </w:r>
      <w:r>
        <w:t xml:space="preserve">https://doi.org/10.1038/s41467-020-18353-4</w:t>
      </w:r>
    </w:p>
    <w:p>
      <w:pPr>
        <w:pStyle w:val="BodyText"/>
      </w:pPr>
      <w:r>
        <w:t xml:space="preserve">Modirshanechi, A., Brea, J., &amp; Gerstner, W. (2022). A taxonomy of surprise definitions.</w:t>
      </w:r>
      <w:r>
        <w:t xml:space="preserve"> </w:t>
      </w:r>
      <w:r>
        <w:rPr>
          <w:i/>
          <w:iCs/>
        </w:rPr>
        <w:t xml:space="preserve">Journal of Mathematical Psychology, 110</w:t>
      </w:r>
      <w:r>
        <w:t xml:space="preserve">, Article 102712.</w:t>
      </w:r>
      <w:r>
        <w:t xml:space="preserve"> </w:t>
      </w:r>
      <w:r>
        <w:t xml:space="preserve">https://doi.org/10.1016/j.jmp.2022.102712</w:t>
      </w:r>
    </w:p>
    <w:p>
      <w:pPr>
        <w:pStyle w:val="BodyText"/>
      </w:pPr>
      <w:r>
        <w:t xml:space="preserve">Schumann, J. F., Engström, J., Johnson, A., O’Kelly, M., Messias, J., Kober, J., &amp;</w:t>
      </w:r>
      <w:r>
        <w:t xml:space="preserve"> </w:t>
      </w:r>
      <w:r>
        <w:t xml:space="preserve">Zgonnikov, A. (2026). Active inference as a model of collision avoidance behavior in human</w:t>
      </w:r>
      <w:r>
        <w:t xml:space="preserve"> </w:t>
      </w:r>
      <w:r>
        <w:t xml:space="preserve">drivers.</w:t>
      </w:r>
      <w:r>
        <w:t xml:space="preserve"> </w:t>
      </w:r>
      <w:r>
        <w:rPr>
          <w:i/>
          <w:iCs/>
        </w:rPr>
        <w:t xml:space="preserve">Nature Communications, 17</w:t>
      </w:r>
      <w:r>
        <w:t xml:space="preserve">, Article 5009.</w:t>
      </w:r>
      <w:r>
        <w:t xml:space="preserve"> </w:t>
      </w:r>
      <w:r>
        <w:t xml:space="preserve">https://doi.org/10.1038/s41467-026-73345-0</w:t>
      </w:r>
    </w:p>
    <w:p>
      <w:pPr>
        <w:pStyle w:val="BodyText"/>
      </w:pPr>
      <w:r>
        <w:rPr>
          <w:i/>
          <w:iCs/>
        </w:rPr>
        <w:t xml:space="preserve">Näätänen and Summala’s zero-risk theory is referred to here as the comfort-zone lineage;</w:t>
      </w:r>
      <w:r>
        <w:rPr>
          <w:i/>
          <w:iCs/>
        </w:rPr>
        <w:t xml:space="preserve"> </w:t>
      </w:r>
      <w:r>
        <w:rPr>
          <w:i/>
          <w:iCs/>
        </w:rPr>
        <w:t xml:space="preserve">per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docs/data_requirements.md</w:t>
      </w:r>
      <w:r>
        <w:rPr>
          <w:i/>
          <w:iCs/>
        </w:rPr>
        <w:t xml:space="preserve">, the originals have not been consulted in this project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attribution rests on secondary sources.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10" Target="media/rId10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2026-08-29T09:48:09Z</dcterms:created>
  <dcterms:modified xsi:type="dcterms:W3CDTF">2026-08-29T09:48:09Z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