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3f4e57b7b1be6bdd0602b7db9f0b6a3a09d1a3"/>
    <w:p>
      <w:pPr>
        <w:pStyle w:val="Heading1"/>
      </w:pPr>
      <w:r>
        <w:t xml:space="preserve">An honest assessment: active inference as the basis for CZB quantification</w:t>
      </w:r>
    </w:p>
    <w:p>
      <w:pPr>
        <w:pStyle w:val="FirstParagraph"/>
      </w:pPr>
      <w:r>
        <w:rPr>
          <w:i/>
          <w:iCs/>
        </w:rPr>
        <w:t xml:space="preserve">2026-08-27, written at Jonas’s request, ahead of discussing the fitting-plan questions.</w:t>
      </w:r>
      <w:r>
        <w:rPr>
          <w:i/>
          <w:iCs/>
        </w:rPr>
        <w:t xml:space="preserve"> </w:t>
      </w:r>
      <w:r>
        <w:rPr>
          <w:i/>
          <w:iCs/>
        </w:rPr>
        <w:t xml:space="preserve">This is an opinion document; where it states judgments they are mine and hedged as such.</w:t>
      </w:r>
      <w:r>
        <w:rPr>
          <w:i/>
          <w:iCs/>
        </w:rPr>
        <w:t xml:space="preserve"> </w:t>
      </w:r>
      <w:r>
        <w:rPr>
          <w:i/>
          <w:iCs/>
        </w:rPr>
        <w:t xml:space="preserve">Numbers are from this repository’s committed analyses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replication/czb/pilot_surface_fit.py</w:t>
      </w:r>
      <w:r>
        <w:rPr>
          <w:i/>
          <w:iCs/>
        </w:rPr>
        <w:t xml:space="preserve"> </w:t>
      </w:r>
      <w:r>
        <w:rPr>
          <w:i/>
          <w:iCs/>
        </w:rPr>
        <w:t xml:space="preserve">and the comparison run recorded in section 3;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replication/causation/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notes/05_validation.md</w:t>
      </w:r>
      <w:r>
        <w:rPr>
          <w:i/>
          <w:iCs/>
        </w:rPr>
        <w:t xml:space="preserve">).</w:t>
      </w:r>
    </w:p>
    <w:bookmarkStart w:id="9" w:name="the-verdict-in-one-paragraph"/>
    <w:p>
      <w:pPr>
        <w:pStyle w:val="Heading2"/>
      </w:pPr>
      <w:r>
        <w:t xml:space="preserve">0 The verdict in one paragraph</w:t>
      </w:r>
    </w:p>
    <w:p>
      <w:pPr>
        <w:pStyle w:val="FirstParagraph"/>
      </w:pPr>
      <w:r>
        <w:t xml:space="preserve">As I read the evidence, the active-inference route is a</w:t>
      </w:r>
      <w:r>
        <w:t xml:space="preserve"> </w:t>
      </w:r>
      <w:r>
        <w:rPr>
          <w:b/>
          <w:bCs/>
        </w:rPr>
        <w:t xml:space="preserve">well-posed, falsifiable, and</w:t>
      </w:r>
      <w:r>
        <w:rPr>
          <w:b/>
          <w:bCs/>
        </w:rPr>
        <w:t xml:space="preserve"> </w:t>
      </w:r>
      <w:r>
        <w:rPr>
          <w:b/>
          <w:bCs/>
        </w:rPr>
        <w:t xml:space="preserve">currently promising research program</w:t>
      </w:r>
      <w:r>
        <w:t xml:space="preserve"> </w:t>
      </w:r>
      <w:r>
        <w:t xml:space="preserve">for quantifying comfort-zone boundaries — the</w:t>
      </w:r>
      <w:r>
        <w:t xml:space="preserve"> </w:t>
      </w:r>
      <w:r>
        <w:t xml:space="preserve">first human-data contact (a two-parameter threshold on the zero-refit field reproducing</w:t>
      </w:r>
      <w:r>
        <w:t xml:space="preserve"> </w:t>
      </w:r>
      <w:r>
        <w:t xml:space="preserve">the 18-cell cut-in response surface with correlation 0.90) is genuinely encouraging —</w:t>
      </w:r>
      <w:r>
        <w:t xml:space="preserve"> </w:t>
      </w:r>
      <w:r>
        <w:t xml:space="preserve">but its distinctive value is</w:t>
      </w:r>
      <w:r>
        <w:t xml:space="preserve"> </w:t>
      </w:r>
      <w:r>
        <w:rPr>
          <w:b/>
          <w:bCs/>
        </w:rPr>
        <w:t xml:space="preserve">not yet demonstrated</w:t>
      </w:r>
      <w:r>
        <w:t xml:space="preserve">, because that value lives entirely</w:t>
      </w:r>
      <w:r>
        <w:t xml:space="preserve"> </w:t>
      </w:r>
      <w:r>
        <w:t xml:space="preserve">in the cross-scenario transfer claim, which is untested. Within a single scenario the</w:t>
      </w:r>
      <w:r>
        <w:t xml:space="preserve"> </w:t>
      </w:r>
      <w:r>
        <w:t xml:space="preserve">field is beaten by a trivial scenario-specific regression (section 3), so the method</w:t>
      </w:r>
      <w:r>
        <w:t xml:space="preserve"> </w:t>
      </w:r>
      <w:r>
        <w:t xml:space="preserve">must stand or fall on what the regression cannot do: carry one interpretable number per</w:t>
      </w:r>
      <w:r>
        <w:t xml:space="preserve"> </w:t>
      </w:r>
      <w:r>
        <w:t xml:space="preserve">driver across scenarios. For the ADAS-triggering purpose specifically, my feeling is</w:t>
      </w:r>
      <w:r>
        <w:t xml:space="preserve"> </w:t>
      </w:r>
      <w:r>
        <w:t xml:space="preserve">that the framework is the right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for the problem (one dial, percentile semantics,</w:t>
      </w:r>
      <w:r>
        <w:t xml:space="preserve"> </w:t>
      </w:r>
      <w:r>
        <w:t xml:space="preserve">decomposable triggers, cheap online evaluation) while being some distance from a</w:t>
      </w:r>
      <w:r>
        <w:t xml:space="preserve"> </w:t>
      </w:r>
      <w:r>
        <w:t xml:space="preserve">deployable recipe: the fitted level absorbs paradigm and latency offsets that matter for</w:t>
      </w:r>
      <w:r>
        <w:t xml:space="preserve"> </w:t>
      </w:r>
      <w:r>
        <w:t xml:space="preserve">absolute trigger timing, the field’s location depends on stated conventions, and the</w:t>
      </w:r>
      <w:r>
        <w:t xml:space="preserve"> </w:t>
      </w:r>
      <w:r>
        <w:t xml:space="preserve">population behind any percentile is presently 43 crowdsourced participants. The honest</w:t>
      </w:r>
      <w:r>
        <w:t xml:space="preserve"> </w:t>
      </w:r>
      <w:r>
        <w:t xml:space="preserve">unique selling point is not</w:t>
      </w:r>
      <w:r>
        <w:t xml:space="preserve"> </w:t>
      </w:r>
      <w:r>
        <w:t xml:space="preserve">“active inference”</w:t>
      </w:r>
      <w:r>
        <w:t xml:space="preserve"> </w:t>
      </w:r>
      <w:r>
        <w:t xml:space="preserve">as a brand — most of that machinery is</w:t>
      </w:r>
      <w:r>
        <w:t xml:space="preserve"> </w:t>
      </w:r>
      <w:r>
        <w:t xml:space="preserve">switched off in our use — but the</w:t>
      </w:r>
      <w:r>
        <w:t xml:space="preserve"> </w:t>
      </w:r>
      <w:r>
        <w:rPr>
          <w:b/>
          <w:bCs/>
        </w:rPr>
        <w:t xml:space="preserve">dual role of one quantity</w:t>
      </w:r>
      <w:r>
        <w:t xml:space="preserve">: the same scalar whose</w:t>
      </w:r>
      <w:r>
        <w:t xml:space="preserve"> </w:t>
      </w:r>
      <w:r>
        <w:t xml:space="preserve">accumulation explains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drivers act is the scalar whose level set</w:t>
      </w:r>
      <w:r>
        <w:t xml:space="preserve"> </w:t>
      </w:r>
      <w:r>
        <w:rPr>
          <w:i/>
          <w:iCs/>
        </w:rPr>
        <w:t xml:space="preserve">defines</w:t>
      </w:r>
      <w:r>
        <w:t xml:space="preserve"> </w:t>
      </w:r>
      <w:r>
        <w:t xml:space="preserve">the</w:t>
      </w:r>
      <w:r>
        <w:t xml:space="preserve"> </w:t>
      </w:r>
      <w:r>
        <w:t xml:space="preserve">boundary. No conventional indicator has that property, and it is testable.</w:t>
      </w:r>
    </w:p>
    <w:bookmarkEnd w:id="9"/>
    <w:bookmarkStart w:id="10" w:name="Xe52f66262994eb123c9e7d336d7d8a1ab58d8da"/>
    <w:p>
      <w:pPr>
        <w:pStyle w:val="Heading2"/>
      </w:pPr>
      <w:r>
        <w:t xml:space="preserve">1 What is actually being used, against what the label suggests</w:t>
      </w:r>
    </w:p>
    <w:p>
      <w:pPr>
        <w:pStyle w:val="FirstParagraph"/>
      </w:pPr>
      <w:r>
        <w:t xml:space="preserve">“Active inference”</w:t>
      </w:r>
      <w:r>
        <w:t xml:space="preserve"> </w:t>
      </w:r>
      <w:r>
        <w:t xml:space="preserve">names a large theoretical stack. The CZB method deliberately uses a</w:t>
      </w:r>
      <w:r>
        <w:t xml:space="preserve"> </w:t>
      </w:r>
      <w:r>
        <w:t xml:space="preserve">thin slice of it, and it seems to me important to be plain about which slice, because it</w:t>
      </w:r>
      <w:r>
        <w:t xml:space="preserve"> </w:t>
      </w:r>
      <w:r>
        <w:t xml:space="preserve">determines what a skeptical reviewer can and cannot attack.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of the full framework</w:t>
            </w:r>
          </w:p>
        </w:tc>
        <w:tc>
          <w:tcPr/>
          <w:p>
            <w:pPr>
              <w:pStyle w:val="Compact"/>
            </w:pPr>
            <w:r>
              <w:t xml:space="preserve">used for CZB?</w:t>
            </w:r>
          </w:p>
        </w:tc>
        <w:tc>
          <w:tcPr/>
          <w:p>
            <w:pPr>
              <w:pStyle w:val="Compact"/>
            </w:pPr>
            <w:r>
              <w:t xml:space="preserve">role in our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 distribution p(o)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central</w:t>
            </w:r>
          </w:p>
        </w:tc>
        <w:tc>
          <w:tcPr/>
          <w:p>
            <w:pPr>
              <w:pStyle w:val="Compact"/>
            </w:pPr>
            <w:r>
              <w:t xml:space="preserve">the comfort-zone field is its pointwise residual information; the boundary is a level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 information (surprise family)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turns log-preference into a non-negative scalar with a true zero (</w:t>
            </w:r>
            <w:r>
              <w:t xml:space="preserve">“comfortable”</w:t>
            </w:r>
            <w:r>
              <w:t xml:space="preserve"> </w:t>
            </w:r>
            <w:r>
              <w:t xml:space="preserve">=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accumulation on pragmatic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(stage 2)</w:t>
            </w:r>
          </w:p>
        </w:tc>
        <w:tc>
          <w:tcPr/>
          <w:p>
            <w:pPr>
              <w:pStyle w:val="Compact"/>
            </w:pPr>
            <w:r>
              <w:t xml:space="preserve">links the field to response</w:t>
            </w:r>
            <w:r>
              <w:t xml:space="preserve"> </w:t>
            </w:r>
            <w:r>
              <w:rPr>
                <w:i/>
                <w:iCs/>
              </w:rPr>
              <w:t xml:space="preserve">timing</w:t>
            </w:r>
            <w:r>
              <w:t xml:space="preserve">; Markkula-style, not uniquely active-inference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free energy planning, policy search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field method is deliberately rollout-free; that is what makes it cheap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epistemic value / information seeking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α = 0 in the validated configuration; the gaze half is unexercised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 updating, state estimation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field is evaluated on observed kinematics directly</w:t>
            </w:r>
          </w:p>
        </w:tc>
      </w:tr>
    </w:tbl>
    <w:p>
      <w:pPr>
        <w:pStyle w:val="BodyText"/>
      </w:pPr>
      <w:r>
        <w:t xml:space="preserve">Two consequences. First, a fair description of our method is</w:t>
      </w:r>
      <w:r>
        <w:t xml:space="preserve"> </w:t>
      </w:r>
      <w:r>
        <w:t xml:space="preserve">“a satisficing preference</w:t>
      </w:r>
      <w:r>
        <w:t xml:space="preserve"> </w:t>
      </w:r>
      <w:r>
        <w:t xml:space="preserve">field with an accumulator, inherited from a validated active-inference driver model”</w:t>
      </w:r>
      <w:r>
        <w:t xml:space="preserve"> </w:t>
      </w:r>
      <w:r>
        <w:t xml:space="preserve">—</w:t>
      </w:r>
      <w:r>
        <w:t xml:space="preserve"> </w:t>
      </w:r>
      <w:r>
        <w:t xml:space="preserve">the theory supplies the</w:t>
      </w:r>
      <w:r>
        <w:t xml:space="preserve"> </w:t>
      </w:r>
      <w:r>
        <w:rPr>
          <w:i/>
          <w:iCs/>
        </w:rPr>
        <w:t xml:space="preserve">specific calibrated form</w:t>
      </w:r>
      <w:r>
        <w:t xml:space="preserve"> </w:t>
      </w:r>
      <w:r>
        <w:t xml:space="preserve">and the connection to a model that</w:t>
      </w:r>
      <w:r>
        <w:t xml:space="preserve"> </w:t>
      </w:r>
      <w:r>
        <w:t xml:space="preserve">also produces closed-loop behavior, not the day-to-day machinery. Second, the criticism</w:t>
      </w:r>
      <w:r>
        <w:t xml:space="preserve"> </w:t>
      </w:r>
      <w:r>
        <w:t xml:space="preserve">“you could do this with a hand-designed cost function”</w:t>
      </w:r>
      <w:r>
        <w:t xml:space="preserve"> </w:t>
      </w:r>
      <w:r>
        <w:t xml:space="preserve">is, as I read it, technically</w:t>
      </w:r>
      <w:r>
        <w:t xml:space="preserve"> </w:t>
      </w:r>
      <w:r>
        <w:t xml:space="preserve">true and practically empty: we would then have to invent the cost function, and the</w:t>
      </w:r>
      <w:r>
        <w:t xml:space="preserve"> </w:t>
      </w:r>
      <w:r>
        <w:t xml:space="preserve">whole point is that this one arrives pre-shaped and pre-calibrated by someone else’s</w:t>
      </w:r>
      <w:r>
        <w:t xml:space="preserve"> </w:t>
      </w:r>
      <w:r>
        <w:t xml:space="preserve">behavioral validation, with its parameters documented and its response-timing</w:t>
      </w:r>
      <w:r>
        <w:t xml:space="preserve"> </w:t>
      </w:r>
      <w:r>
        <w:t xml:space="preserve">predictions testable on the same data. The convergence with the QUADRARUM document’s</w:t>
      </w:r>
      <w:r>
        <w:t xml:space="preserve"> </w:t>
      </w:r>
      <w:r>
        <w:t xml:space="preserve">definition of the CZB — the point where the satisficing condition is violated — is</w:t>
      </w:r>
      <w:r>
        <w:t xml:space="preserve"> </w:t>
      </w:r>
      <w:r>
        <w:t xml:space="preserve">real: a preference distribution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specification of acceptable outcomes.</w:t>
      </w:r>
    </w:p>
    <w:bookmarkEnd w:id="10"/>
    <w:bookmarkStart w:id="11" w:name="the-evidence-ledger-as-it-stands-today"/>
    <w:p>
      <w:pPr>
        <w:pStyle w:val="Heading2"/>
      </w:pPr>
      <w:r>
        <w:t xml:space="preserve">2 The evidence ledger, as it stands today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my reading of its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field recovers response onsets from kinematics alone</w:t>
            </w:r>
          </w:p>
        </w:tc>
        <w:tc>
          <w:tcPr/>
          <w:p>
            <w:pPr>
              <w:pStyle w:val="Compact"/>
            </w:pPr>
            <w:r>
              <w:t xml:space="preserve">median onset error 0.0 s against the authors’ OSF deposit (n = 896, score 0.855)</w:t>
            </w:r>
          </w:p>
        </w:tc>
        <w:tc>
          <w:tcPr/>
          <w:p>
            <w:pPr>
              <w:pStyle w:val="Compact"/>
            </w:pPr>
            <w:r>
              <w:t xml:space="preserve">strong, but model-recovering-model — no human in the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field explains a human response surface</w:t>
            </w:r>
          </w:p>
        </w:tc>
        <w:tc>
          <w:tcPr/>
          <w:p>
            <w:pPr>
              <w:pStyle w:val="Compact"/>
            </w:pPr>
            <w:r>
              <w:t xml:space="preserve">stage-0 pilot: 2-parameter probit, corr 0.90 / RMSE 0.125 on the 18-cell cut-in surface</w:t>
            </w:r>
          </w:p>
        </w:tc>
        <w:tc>
          <w:tcPr/>
          <w:p>
            <w:pPr>
              <w:pStyle w:val="Compact"/>
            </w:pPr>
            <w:r>
              <w:t xml:space="preserve">encouraging first human contact; see section 3 for the honest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response process is behaviorally right</w:t>
            </w:r>
          </w:p>
        </w:tc>
        <w:tc>
          <w:tcPr/>
          <w:p>
            <w:pPr>
              <w:pStyle w:val="Compact"/>
            </w:pPr>
            <w:r>
              <w:t xml:space="preserve">crash-causation study: active-inference conditions closer to the QUADRIS reference than the CBM control (severity θ 0.148 vs 0.209, P ≈ 0.97; braking aggregate 0.3% vs 35%)</w:t>
            </w:r>
          </w:p>
        </w:tc>
        <w:tc>
          <w:tcPr/>
          <w:p>
            <w:pPr>
              <w:pStyle w:val="Compact"/>
            </w:pPr>
            <w:r>
              <w:t xml:space="preserve">moderate; supports the</w:t>
            </w:r>
            <w:r>
              <w:t xml:space="preserve"> </w:t>
            </w:r>
            <w:r>
              <w:rPr>
                <w:i/>
                <w:iCs/>
              </w:rPr>
              <w:t xml:space="preserve">response model</w:t>
            </w:r>
            <w:r>
              <w:t xml:space="preserve">, and severity constrains timing only weakly (severity-vs-timing dissociation)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scalar transfers across scenarios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untested; this is the load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field expresses graded caution in mild events</w:t>
            </w:r>
          </w:p>
        </w:tc>
        <w:tc>
          <w:tcPr/>
          <w:p>
            <w:pPr>
              <w:pStyle w:val="Compact"/>
            </w:pPr>
            <w:r>
              <w:t xml:space="preserve">mild truck cut-ins: dread-field deficit exactly zero through the response window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as it stands; the comfort level (allowed deceleration below capability) is required to fix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paradigms measure one latent process</w:t>
            </w:r>
          </w:p>
        </w:tc>
        <w:tc>
          <w:tcPr/>
          <w:p>
            <w:pPr>
              <w:pStyle w:val="Compact"/>
            </w:pPr>
            <w:r>
              <w:t xml:space="preserve">fixed-clip CDF vs button density agree within 0.06 at high criticality; +0.26 excess early pressing at intermediate</w:t>
            </w:r>
          </w:p>
        </w:tc>
        <w:tc>
          <w:tcPr/>
          <w:p>
            <w:pPr>
              <w:pStyle w:val="Compact"/>
            </w:pPr>
            <w:r>
              <w:t xml:space="preserve">mixed; consistent with one process plus a shift, but the shift is real and confounded with order</w:t>
            </w:r>
          </w:p>
        </w:tc>
      </w:tr>
    </w:tbl>
    <w:bookmarkEnd w:id="11"/>
    <w:bookmarkStart w:id="12" w:name="X78afd2a87101ccada102b15781d3e21e3b43389"/>
    <w:p>
      <w:pPr>
        <w:pStyle w:val="Heading2"/>
      </w:pPr>
      <w:r>
        <w:t xml:space="preserve">3 The uncomfortable comparison, run rather than assumed</w:t>
      </w:r>
    </w:p>
    <w:p>
      <w:pPr>
        <w:pStyle w:val="FirstParagraph"/>
      </w:pPr>
      <w:r>
        <w:t xml:space="preserve">If the field is only a repackaging of kinematics, a kinematic baseline should match it.</w:t>
      </w:r>
      <w:r>
        <w:t xml:space="preserve"> </w:t>
      </w:r>
      <w:r>
        <w:t xml:space="preserve">I fitted probit models to the same 18-cell surface (3 096 trials) at matched or nearly</w:t>
      </w:r>
      <w:r>
        <w:t xml:space="preserve"> </w:t>
      </w:r>
      <w:r>
        <w:t xml:space="preserve">matched parameter counts: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corr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comfort-zone field (running max), threshold + noise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 at clip end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0.764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1/TTC at clip end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gated required deceleration (running max)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0.727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 TTC + exposure time (design variables)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1/TTC at end + exposure time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</w:tr>
    </w:tbl>
    <w:p>
      <w:pPr>
        <w:pStyle w:val="BodyText"/>
      </w:pPr>
      <w:r>
        <w:t xml:space="preserve">Three readings, in decreasing comfort: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field beats every single kinematic scalar at equal parameter count.</w:t>
      </w:r>
      <w:r>
        <w:t xml:space="preserve"> </w:t>
      </w:r>
      <w:r>
        <w:t xml:space="preserve">Plain</w:t>
      </w:r>
      <w:r>
        <w:t xml:space="preserve"> </w:t>
      </w:r>
      <w:r>
        <w:t xml:space="preserve">end-TTC cannot explain the surface (it thinks a C1 clip at TTC 4.0 is more dangerous</w:t>
      </w:r>
      <w:r>
        <w:t xml:space="preserve"> </w:t>
      </w:r>
      <w:r>
        <w:t xml:space="preserve">than a C6 clip at TTC 4.5, and drivers say the opposite), because the response</w:t>
      </w:r>
      <w:r>
        <w:t xml:space="preserve"> </w:t>
      </w:r>
      <w:r>
        <w:t xml:space="preserve">depends on the developing lateral geometry — which is exactly what the field’s</w:t>
      </w:r>
      <w:r>
        <w:t xml:space="preserve"> </w:t>
      </w:r>
      <w:r>
        <w:t xml:space="preserve">lane-entry structure integrates. To rescue TTC one must gate it by lane relevance,</w:t>
      </w:r>
      <w:r>
        <w:t xml:space="preserve"> </w:t>
      </w:r>
      <w:r>
        <w:t xml:space="preserve">and by then one has rebuilt the field’s safety term by hand.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scenario-specific regression on the design variables beats the field.</w:t>
      </w:r>
      <w:r>
        <w:t xml:space="preserve"> </w:t>
      </w:r>
      <w:r>
        <w:t xml:space="preserve">One extra</w:t>
      </w:r>
      <w:r>
        <w:t xml:space="preserve"> </w:t>
      </w:r>
      <w:r>
        <w:t xml:space="preserve">parameter and an explicit time term give 0.96. This is not embarrassing — a</w:t>
      </w:r>
      <w:r>
        <w:t xml:space="preserve"> </w:t>
      </w:r>
      <w:r>
        <w:t xml:space="preserve">regression fit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scenario’s design axes cannot transfer, predicts nothing</w:t>
      </w:r>
      <w:r>
        <w:t xml:space="preserve"> </w:t>
      </w:r>
      <w:r>
        <w:t xml:space="preserve">outside its grid, and its coefficients mean nothing — but it disciplines the claim:</w:t>
      </w:r>
      <w:r>
        <w:t xml:space="preserve"> </w:t>
      </w:r>
      <w:r>
        <w:t xml:space="preserve">the field cannot be sold on within-scenario fit. Its case is that its</w:t>
      </w:r>
      <w:r>
        <w:t xml:space="preserve"> </w:t>
      </w:r>
      <w:r>
        <w:rPr>
          <w:i/>
          <w:iCs/>
        </w:rPr>
        <w:t xml:space="preserve">threshold</w:t>
      </w:r>
      <w:r>
        <w:t xml:space="preserve"> </w:t>
      </w:r>
      <w:r>
        <w:t xml:space="preserve">is</w:t>
      </w:r>
      <w:r>
        <w:t xml:space="preserve"> </w:t>
      </w:r>
      <w:r>
        <w:t xml:space="preserve">one portable, interpretable number, where the regression’s coefficients are neither.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gap is the accumulator’s signature.</w:t>
      </w:r>
      <w:r>
        <w:t xml:space="preserve"> </w:t>
      </w:r>
      <w:r>
        <w:t xml:space="preserve">Most of the baseline’s advantage comes</w:t>
      </w:r>
      <w:r>
        <w:t xml:space="preserve"> </w:t>
      </w:r>
      <w:r>
        <w:t xml:space="preserve">from the exposure-time term (TTC alone 0.76 → 0.96 with time added). The static</w:t>
      </w:r>
      <w:r>
        <w:t xml:space="preserve"> </w:t>
      </w:r>
      <w:r>
        <w:t xml:space="preserve">threshold cannot express</w:t>
      </w:r>
      <w:r>
        <w:t xml:space="preserve"> </w:t>
      </w:r>
      <w:r>
        <w:t xml:space="preserve">“probability of having responded grows with time at a</w:t>
      </w:r>
      <w:r>
        <w:t xml:space="preserve"> </w:t>
      </w:r>
      <w:r>
        <w:t xml:space="preserve">given criticality”</w:t>
      </w:r>
      <w:r>
        <w:t xml:space="preserve">; the accumulator exists to express exactly that, without adding</w:t>
      </w:r>
      <w:r>
        <w:t xml:space="preserve"> </w:t>
      </w:r>
      <w:r>
        <w:t xml:space="preserve">per-scenario parameters. My expectation — falsifiable, stage 2 — is that field +</w:t>
      </w:r>
      <w:r>
        <w:t xml:space="preserve"> </w:t>
      </w:r>
      <w:r>
        <w:t xml:space="preserve">accumulator closes most of this gap; if it does not, that is evidence against the</w:t>
      </w:r>
      <w:r>
        <w:t xml:space="preserve"> </w:t>
      </w:r>
      <w:r>
        <w:t xml:space="preserve">framework worth taking seriously.</w:t>
      </w:r>
    </w:p>
    <w:bookmarkEnd w:id="12"/>
    <w:bookmarkStart w:id="13" w:name="X7b2fa9ca0fb1b7eeb91962804396bc5bad40ccc"/>
    <w:p>
      <w:pPr>
        <w:pStyle w:val="Heading2"/>
      </w:pPr>
      <w:r>
        <w:t xml:space="preserve">4 What the route genuinely buys, if the transfer test passes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one-dimensional population.</w:t>
      </w:r>
      <w:r>
        <w:t xml:space="preserve"> </w:t>
      </w:r>
      <w:r>
        <w:t xml:space="preserve">The percentile question (</w:t>
      </w:r>
      <w:r>
        <w:t xml:space="preserve">“trigger where 80% of</w:t>
      </w:r>
      <w:r>
        <w:t xml:space="preserve"> </w:t>
      </w:r>
      <w:r>
        <w:t xml:space="preserve">drivers would already be uncomfortable”</w:t>
      </w:r>
      <w:r>
        <w:t xml:space="preserve">) becomes well-posed without an ellipse,</w:t>
      </w:r>
      <w:r>
        <w:t xml:space="preserve"> </w:t>
      </w:r>
      <w:r>
        <w:t xml:space="preserve">because the field has already absorbed speed, gap, closing rate and lateral position</w:t>
      </w:r>
      <w:r>
        <w:t xml:space="preserve"> </w:t>
      </w:r>
      <w:r>
        <w:t xml:space="preserve">into one number. The multivariate conjunction problem the QUADRARUM document works</w:t>
      </w:r>
      <w:r>
        <w:t xml:space="preserve"> </w:t>
      </w:r>
      <w:r>
        <w:t xml:space="preserve">through is dissolved rather than solved.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dual role.</w:t>
      </w:r>
      <w:r>
        <w:t xml:space="preserve"> </w:t>
      </w:r>
      <w:r>
        <w:t xml:space="preserve">The same scalar defines the boundary (level set) and predicts</w:t>
      </w:r>
      <w:r>
        <w:t xml:space="preserve"> </w:t>
      </w:r>
      <w:r>
        <w:t xml:space="preserve">response timing (accumulation). A TTC threshold does not predict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in a</w:t>
      </w:r>
      <w:r>
        <w:t xml:space="preserve"> </w:t>
      </w:r>
      <w:r>
        <w:t xml:space="preserve">developing event a driver acts; this does, and the button data tests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Decomposable triggers.</w:t>
      </w:r>
      <w:r>
        <w:t xml:space="preserve"> </w:t>
      </w:r>
      <w:r>
        <w:t xml:space="preserve">Exceedance attributes to named terms (speed, clearance,</w:t>
      </w:r>
      <w:r>
        <w:t xml:space="preserve"> </w:t>
      </w:r>
      <w:r>
        <w:t xml:space="preserve">counterfactual braking), which matters for explaining an ADAS intervention to an</w:t>
      </w:r>
      <w:r>
        <w:t xml:space="preserve"> </w:t>
      </w:r>
      <w:r>
        <w:t xml:space="preserve">engineer, a regulator, or a driver.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Cheap online evaluation.</w:t>
      </w:r>
      <w:r>
        <w:t xml:space="preserve"> </w:t>
      </w:r>
      <w:r>
        <w:t xml:space="preserve">The field is closed-form in observables; no rollouts. It</w:t>
      </w:r>
      <w:r>
        <w:t xml:space="preserve"> </w:t>
      </w:r>
      <w:r>
        <w:t xml:space="preserve">could run in a vehicle at trivial cost, unlike the full closed-loop model (~18 s CPU</w:t>
      </w:r>
      <w:r>
        <w:t xml:space="preserve"> </w:t>
      </w:r>
      <w:r>
        <w:t xml:space="preserve">per simulated step).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benefit-estimation synergy.</w:t>
      </w:r>
      <w:r>
        <w:t xml:space="preserve"> </w:t>
      </w:r>
      <w:r>
        <w:t xml:space="preserve">The crash-causation machinery in this repository</w:t>
      </w:r>
      <w:r>
        <w:t xml:space="preserve"> </w:t>
      </w:r>
      <w:r>
        <w:t xml:space="preserve">can, in principle, estimate the</w:t>
      </w:r>
      <w:r>
        <w:t xml:space="preserve"> </w:t>
      </w:r>
      <w:r>
        <w:rPr>
          <w:i/>
          <w:iCs/>
        </w:rPr>
        <w:t xml:space="preserve">safety</w:t>
      </w:r>
      <w:r>
        <w:t xml:space="preserve"> </w:t>
      </w:r>
      <w:r>
        <w:t xml:space="preserve">consequence of any candidate trigger placed</w:t>
      </w:r>
      <w:r>
        <w:t xml:space="preserve"> </w:t>
      </w:r>
      <w:r>
        <w:t xml:space="preserve">on the field — the two workstreams compose into</w:t>
      </w:r>
      <w:r>
        <w:t xml:space="preserve"> </w:t>
      </w:r>
      <w:r>
        <w:t xml:space="preserve">“set the trigger by comfort</w:t>
      </w:r>
      <w:r>
        <w:t xml:space="preserve"> </w:t>
      </w:r>
      <w:r>
        <w:t xml:space="preserve">percentile, audit it by counterfactual crash outcome”</w:t>
      </w:r>
      <w:r>
        <w:t xml:space="preserve">, which neither piece does</w:t>
      </w:r>
      <w:r>
        <w:t xml:space="preserve"> </w:t>
      </w:r>
      <w:r>
        <w:t xml:space="preserve">alone. To me this composition is one of the strongest practical arguments for</w:t>
      </w:r>
      <w:r>
        <w:t xml:space="preserve"> </w:t>
      </w:r>
      <w:r>
        <w:t xml:space="preserve">keeping both on the same scalar.</w:t>
      </w:r>
    </w:p>
    <w:bookmarkEnd w:id="13"/>
    <w:bookmarkStart w:id="14" w:name="X2056c50f4b9a56b0dacb6b1c56dc751df0d5490"/>
    <w:p>
      <w:pPr>
        <w:pStyle w:val="Heading2"/>
      </w:pPr>
      <w:r>
        <w:t xml:space="preserve">5 The case against, stated as risks with severities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transfer claim may simply be false</w:t>
      </w:r>
      <w:r>
        <w:t xml:space="preserve"> </w:t>
      </w:r>
      <w:r>
        <w:t xml:space="preserve">(severity: decisive; probability: real).</w:t>
      </w:r>
      <w:r>
        <w:t xml:space="preserve"> </w:t>
      </w:r>
      <w:r>
        <w:t xml:space="preserve">Drivers may not carry one level across scenario types — the instruction differs by</w:t>
      </w:r>
      <w:r>
        <w:t xml:space="preserve"> </w:t>
      </w:r>
      <w:r>
        <w:t xml:space="preserve">scenario in our own data (intervene / abort / yield), and handbook ch. 04 already</w:t>
      </w:r>
      <w:r>
        <w:t xml:space="preserve"> </w:t>
      </w:r>
      <w:r>
        <w:t xml:space="preserve">flags that pooling these under one scalar is the likeliest way to manufacture a</w:t>
      </w:r>
      <w:r>
        <w:t xml:space="preserve"> </w:t>
      </w:r>
      <w:r>
        <w:t xml:space="preserve">false negative. The fallback (elliptical joint percentile on conventional</w:t>
      </w:r>
      <w:r>
        <w:t xml:space="preserve"> </w:t>
      </w:r>
      <w:r>
        <w:t xml:space="preserve">observables) is tracked, which is the right structure: failure would be a finding,</w:t>
      </w:r>
      <w:r>
        <w:t xml:space="preserve"> </w:t>
      </w:r>
      <w:r>
        <w:t xml:space="preserve">not a dead 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transfers is the threshold, not the work</w:t>
      </w:r>
      <w:r>
        <w:t xml:space="preserve"> </w:t>
      </w:r>
      <w:r>
        <w:t xml:space="preserve">(severity: moderate, chronic).</w:t>
      </w:r>
      <w:r>
        <w:t xml:space="preserve"> </w:t>
      </w:r>
      <w:r>
        <w:t xml:space="preserve">Every new scenario needs its field construction — geometry, norms, observation</w:t>
      </w:r>
      <w:r>
        <w:t xml:space="preserve"> </w:t>
      </w:r>
      <w:r>
        <w:t xml:space="preserve">conventions. The very first new scenario (cut-in) required a structural</w:t>
      </w:r>
      <w:r>
        <w:t xml:space="preserve"> </w:t>
      </w:r>
      <w:r>
        <w:t xml:space="preserve">modification to the preference function, argued but still a modification made</w:t>
      </w:r>
      <w:r>
        <w:t xml:space="preserve"> </w:t>
      </w:r>
      <w:r>
        <w:t xml:space="preserve">before any fitting; LTAP will need a crossing geometry; the overtake traces need</w:t>
      </w:r>
      <w:r>
        <w:t xml:space="preserve"> </w:t>
      </w:r>
      <w:r>
        <w:t xml:space="preserve">role assignment rebuilt.</w:t>
      </w:r>
      <w:r>
        <w:t xml:space="preserve"> </w:t>
      </w:r>
      <w:r>
        <w:t xml:space="preserve">“One scalar, no per-scenario engineering”</w:t>
      </w:r>
      <w:r>
        <w:t xml:space="preserve"> </w:t>
      </w:r>
      <w:r>
        <w:t xml:space="preserve">is not the true</w:t>
      </w:r>
      <w:r>
        <w:t xml:space="preserve"> </w:t>
      </w:r>
      <w:r>
        <w:t xml:space="preserve">position; the true position is</w:t>
      </w:r>
      <w:r>
        <w:t xml:space="preserve"> </w:t>
      </w:r>
      <w:r>
        <w:t xml:space="preserve">“bounded, principled, parameter-free per-scenario</w:t>
      </w:r>
      <w:r>
        <w:t xml:space="preserve"> </w:t>
      </w:r>
      <w:r>
        <w:t xml:space="preserve">construction with a shared threshold”</w:t>
      </w:r>
      <w:r>
        <w:t xml:space="preserve">, and it should be stated that way.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fitted level is not the boundary</w:t>
      </w:r>
      <w:r>
        <w:t xml:space="preserve"> </w:t>
      </w:r>
      <w:r>
        <w:t xml:space="preserve">(severity: moderate for percentiles, high</w:t>
      </w:r>
      <w:r>
        <w:t xml:space="preserve"> </w:t>
      </w:r>
      <w:r>
        <w:t xml:space="preserve">for absolute triggers). c_obs = c_true + bias + paradigm + latency. The design</w:t>
      </w:r>
      <w:r>
        <w:t xml:space="preserve"> </w:t>
      </w:r>
      <w:r>
        <w:t xml:space="preserve">identifies some components (C1 for bias, framing contrast) and not others (motor</w:t>
      </w:r>
      <w:r>
        <w:t xml:space="preserve"> </w:t>
      </w:r>
      <w:r>
        <w:t xml:space="preserve">latency, unidentified; the paradigm term is confounded with order). Percentiles</w:t>
      </w:r>
      <w:r>
        <w:t xml:space="preserve"> </w:t>
      </w:r>
      <w:r>
        <w:t xml:space="preserve">largely survive because the offsets are shared; an absolute trigger time does not</w:t>
      </w:r>
      <w:r>
        <w:t xml:space="preserve"> </w:t>
      </w:r>
      <w:r>
        <w:t xml:space="preserve">— 0.2 s of unmodeled latency is 6 m at highway speed.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field’s location rests on stated conventions</w:t>
      </w:r>
      <w:r>
        <w:t xml:space="preserve"> </w:t>
      </w:r>
      <w:r>
        <w:t xml:space="preserve">(severity: moderate,</w:t>
      </w:r>
      <w:r>
        <w:t xml:space="preserve"> </w:t>
      </w:r>
      <w:r>
        <w:t xml:space="preserve">manageable). The assumed worst case a_OV,min, the reaction budget t_react, and the</w:t>
      </w:r>
      <w:r>
        <w:t xml:space="preserve"> </w:t>
      </w:r>
      <w:r>
        <w:t xml:space="preserve">capability a_max move the boundary substantially — at 20 m/s the comfort-to-dread</w:t>
      </w:r>
      <w:r>
        <w:t xml:space="preserve"> </w:t>
      </w:r>
      <w:r>
        <w:t xml:space="preserve">span (allowed deceleration 4 vs 8 m/s²) is a time-headway range of 1.86 s down to</w:t>
      </w:r>
      <w:r>
        <w:t xml:space="preserve"> </w:t>
      </w:r>
      <w:r>
        <w:t xml:space="preserve">0.61 s, a factor of three. The project’s standing rule (never quote absolute</w:t>
      </w:r>
      <w:r>
        <w:t xml:space="preserve"> </w:t>
      </w:r>
      <w:r>
        <w:t xml:space="preserve">boundaries without stating them) applies to any deployed threshold verbatim.</w:t>
      </w:r>
      <w:r>
        <w:t xml:space="preserve"> </w:t>
      </w:r>
      <w:r>
        <w:t xml:space="preserve">Freezing them across scenarios is part of the claim under test; tuning them per</w:t>
      </w:r>
      <w:r>
        <w:t xml:space="preserve"> </w:t>
      </w:r>
      <w:r>
        <w:t xml:space="preserve">scenario would readmit the multivariate problem through the back door.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 zeros below the counterfactual threshold</w:t>
      </w:r>
      <w:r>
        <w:t xml:space="preserve"> </w:t>
      </w:r>
      <w:r>
        <w:t xml:space="preserve">(severity: high if unaddressed;</w:t>
      </w:r>
      <w:r>
        <w:t xml:space="preserve"> </w:t>
      </w:r>
      <w:r>
        <w:t xml:space="preserve">fix identified). The dread field is exactly silent for the mild truck cut-ins while</w:t>
      </w:r>
      <w:r>
        <w:t xml:space="preserve"> </w:t>
      </w:r>
      <w:r>
        <w:t xml:space="preserve">humans plausibly still respond. An ADAS triggered on that field would never fire on</w:t>
      </w:r>
      <w:r>
        <w:t xml:space="preserve"> </w:t>
      </w:r>
      <w:r>
        <w:t xml:space="preserve">mild-but-uncomfortable events. The comfort-level formulation (allowed deceleration</w:t>
      </w:r>
      <w:r>
        <w:t xml:space="preserve"> </w:t>
      </w:r>
      <w:r>
        <w:t xml:space="preserve">below capability) exists precisely for this; the fitting plan’s section 4 makes the</w:t>
      </w:r>
      <w:r>
        <w:t xml:space="preserve"> </w:t>
      </w:r>
      <w:r>
        <w:t xml:space="preserve">truck cells the internal check. If drivers’ responses there turn out to need a</w:t>
      </w:r>
      <w:r>
        <w:t xml:space="preserve"> </w:t>
      </w:r>
      <w:r>
        <w:t xml:space="preserve">different</w:t>
      </w:r>
      <w:r>
        <w:t xml:space="preserve"> </w:t>
      </w:r>
      <w:r>
        <w:rPr>
          <w:i/>
          <w:iCs/>
        </w:rPr>
        <w:t xml:space="preserve">shape</w:t>
      </w:r>
      <w:r>
        <w:t xml:space="preserve">, not just a lower level, that would be structural evidence</w:t>
      </w:r>
      <w:r>
        <w:t xml:space="preserve"> </w:t>
      </w:r>
      <w:r>
        <w:t xml:space="preserve">against the field.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Provenance</w:t>
      </w:r>
      <w:r>
        <w:t xml:space="preserve"> </w:t>
      </w:r>
      <w:r>
        <w:t xml:space="preserve">(severity: low-moderate, documented). The preference function follows</w:t>
      </w:r>
      <w:r>
        <w:t xml:space="preserve"> </w:t>
      </w:r>
      <w:r>
        <w:t xml:space="preserve">the authors’ released code, which deviates from its own supplementary information</w:t>
      </w:r>
      <w:r>
        <w:t xml:space="preserve"> </w:t>
      </w:r>
      <w:r>
        <w:t xml:space="preserve">in 13 documented ways, and the paper’s worked example does not match its deposit.</w:t>
      </w:r>
      <w:r>
        <w:t xml:space="preserve"> </w:t>
      </w:r>
      <w:r>
        <w:t xml:space="preserve">We build on the implementation that generated the validated results — the right</w:t>
      </w:r>
      <w:r>
        <w:t xml:space="preserve"> </w:t>
      </w:r>
      <w:r>
        <w:t xml:space="preserve">choice, I think — but a safety-adjacent application inherits that provenance and</w:t>
      </w:r>
      <w:r>
        <w:t xml:space="preserve"> </w:t>
      </w:r>
      <w:r>
        <w:t xml:space="preserve">should say so.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Population and paradigm</w:t>
      </w:r>
      <w:r>
        <w:t xml:space="preserve"> </w:t>
      </w:r>
      <w:r>
        <w:t xml:space="preserve">(severity: high for deployment, low for the research</w:t>
      </w:r>
      <w:r>
        <w:t xml:space="preserve"> </w:t>
      </w:r>
      <w:r>
        <w:t xml:space="preserve">question). Any percentile from this data describes 43 crowdsourced participants</w:t>
      </w:r>
      <w:r>
        <w:t xml:space="preserve"> </w:t>
      </w:r>
      <w:r>
        <w:t xml:space="preserve">watching clips, with a demonstrated satisficing excess (+0.26 at intermediate</w:t>
      </w:r>
      <w:r>
        <w:t xml:space="preserve"> </w:t>
      </w:r>
      <w:r>
        <w:t xml:space="preserve">criticality) in one paradigm. This supports method development, comparisons and</w:t>
      </w:r>
      <w:r>
        <w:t xml:space="preserve"> </w:t>
      </w:r>
      <w:r>
        <w:t xml:space="preserve">contrasts; it does not support setting a fleet trigger.</w:t>
      </w:r>
    </w:p>
    <w:bookmarkEnd w:id="14"/>
    <w:bookmarkStart w:id="15" w:name="X0e1cbe9d4c977a106e88cbdc32b822189f988d6"/>
    <w:p>
      <w:pPr>
        <w:pStyle w:val="Heading2"/>
      </w:pPr>
      <w:r>
        <w:t xml:space="preserve">6 Specifically as a way to place an ADAS trigger</w:t>
      </w:r>
    </w:p>
    <w:p>
      <w:pPr>
        <w:pStyle w:val="FirstParagraph"/>
      </w:pPr>
      <w:r>
        <w:t xml:space="preserve">The end-to-end pipeline would be: fit c per driver → population distribution of c →</w:t>
      </w:r>
      <w:r>
        <w:t xml:space="preserve"> </w:t>
      </w:r>
      <w:r>
        <w:t xml:space="preserve">choose a percentile → the trigger surface is that level set of the field, evaluated</w:t>
      </w:r>
      <w:r>
        <w:t xml:space="preserve"> </w:t>
      </w:r>
      <w:r>
        <w:t xml:space="preserve">online. Where I would concentrate skepticism, in order: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percentile choice dominates.</w:t>
      </w:r>
      <w:r>
        <w:t xml:space="preserve"> </w:t>
      </w:r>
      <w:r>
        <w:t xml:space="preserve">Moving the percentile moves the trigger far</w:t>
      </w:r>
      <w:r>
        <w:t xml:space="preserve"> </w:t>
      </w:r>
      <w:r>
        <w:t xml:space="preserve">more than most estimation errors will; the sensitivity of the implied trigger</w:t>
      </w:r>
      <w:r>
        <w:t xml:space="preserve"> </w:t>
      </w:r>
      <w:r>
        <w:t xml:space="preserve">timing to the percentile (and to the comfort-versus-dread level choice) should be</w:t>
      </w:r>
      <w:r>
        <w:t xml:space="preserve"> </w:t>
      </w:r>
      <w:r>
        <w:t xml:space="preserve">quantified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investing further in estimator refinement, because it may show</w:t>
      </w:r>
      <w:r>
        <w:t xml:space="preserve"> </w:t>
      </w:r>
      <w:r>
        <w:t xml:space="preserve">that a cruder estimate suffices — or that no defensible percentile gives a usable</w:t>
      </w:r>
      <w:r>
        <w:t xml:space="preserve"> </w:t>
      </w:r>
      <w:r>
        <w:t xml:space="preserve">trigger. This is cheap to run once stage 1 exists.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Comfort is an acceptance criterion, not a safety criterion.</w:t>
      </w:r>
      <w:r>
        <w:t xml:space="preserve"> </w:t>
      </w:r>
      <w:r>
        <w:t xml:space="preserve">A CZB-percentile</w:t>
      </w:r>
      <w:r>
        <w:t xml:space="preserve"> </w:t>
      </w:r>
      <w:r>
        <w:t xml:space="preserve">trigger answers</w:t>
      </w:r>
      <w:r>
        <w:t xml:space="preserve"> </w:t>
      </w:r>
      <w:r>
        <w:t xml:space="preserve">“when would most drivers already want regulation”</w:t>
      </w:r>
      <w:r>
        <w:t xml:space="preserve">, which is the</w:t>
      </w:r>
      <w:r>
        <w:t xml:space="preserve"> </w:t>
      </w:r>
      <w:r>
        <w:t xml:space="preserve">right question for nuisance and trust, and only indirectly a safety question. The</w:t>
      </w:r>
      <w:r>
        <w:t xml:space="preserve"> </w:t>
      </w:r>
      <w:r>
        <w:t xml:space="preserve">QUADRARUM document’s observation that measured thresholds and CZB-based ones may</w:t>
      </w:r>
      <w:r>
        <w:t xml:space="preserve"> </w:t>
      </w:r>
      <w:r>
        <w:t xml:space="preserve">differ by only ~0.1 s suggests the two may nearly coincide in practice, but that</w:t>
      </w:r>
      <w:r>
        <w:t xml:space="preserve"> </w:t>
      </w:r>
      <w:r>
        <w:t xml:space="preserve">is a hypothesis to check — and the causation machinery here can check it, by</w:t>
      </w:r>
      <w:r>
        <w:t xml:space="preserve"> </w:t>
      </w:r>
      <w:r>
        <w:t xml:space="preserve">scoring candidate triggers against counterfactual crash outcomes on the QUADRIS</w:t>
      </w:r>
      <w:r>
        <w:t xml:space="preserve"> </w:t>
      </w:r>
      <w:r>
        <w:t xml:space="preserve">ensemble.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Absolute timing inherits every offset in risk 3.</w:t>
      </w:r>
      <w:r>
        <w:t xml:space="preserve"> </w:t>
      </w:r>
      <w:r>
        <w:t xml:space="preserve">For a comparative use (rank</w:t>
      </w:r>
      <w:r>
        <w:t xml:space="preserve"> </w:t>
      </w:r>
      <w:r>
        <w:t xml:space="preserve">situations, adapt sensitivity between drivers) the route is already fairly solid;</w:t>
      </w:r>
      <w:r>
        <w:t xml:space="preserve"> </w:t>
      </w:r>
      <w:r>
        <w:t xml:space="preserve">for an absolute</w:t>
      </w:r>
      <w:r>
        <w:t xml:space="preserve"> </w:t>
      </w:r>
      <w:r>
        <w:t xml:space="preserve">“fire now”</w:t>
      </w:r>
      <w:r>
        <w:t xml:space="preserve"> </w:t>
      </w:r>
      <w:r>
        <w:t xml:space="preserve">threshold the latency and paradigm terms must be fixed</w:t>
      </w:r>
      <w:r>
        <w:t xml:space="preserve"> </w:t>
      </w:r>
      <w:r>
        <w:t xml:space="preserve">externally, and the honest statement is that this design cannot identify them.</w:t>
      </w:r>
    </w:p>
    <w:bookmarkEnd w:id="15"/>
    <w:bookmarkStart w:id="16" w:name="X0f1ca461fd9366a358b9d307b880c8f0a1140bd"/>
    <w:p>
      <w:pPr>
        <w:pStyle w:val="Heading2"/>
      </w:pPr>
      <w:r>
        <w:t xml:space="preserve">7 Bottom line, and what would change my mind</w:t>
      </w:r>
    </w:p>
    <w:p>
      <w:pPr>
        <w:pStyle w:val="FirstParagraph"/>
      </w:pPr>
      <w:r>
        <w:t xml:space="preserve">My overall position:</w:t>
      </w:r>
      <w:r>
        <w:t xml:space="preserve"> </w:t>
      </w:r>
      <w:r>
        <w:rPr>
          <w:b/>
          <w:bCs/>
        </w:rPr>
        <w:t xml:space="preserve">worth pursuing, with the transfer test as the gate, and worth</w:t>
      </w:r>
      <w:r>
        <w:rPr>
          <w:b/>
          <w:bCs/>
        </w:rPr>
        <w:t xml:space="preserve"> </w:t>
      </w:r>
      <w:r>
        <w:rPr>
          <w:b/>
          <w:bCs/>
        </w:rPr>
        <w:t xml:space="preserve">describing more modestly than</w:t>
      </w:r>
      <w:r>
        <w:rPr>
          <w:b/>
          <w:bCs/>
        </w:rPr>
        <w:t xml:space="preserve"> </w:t>
      </w:r>
      <w:r>
        <w:rPr>
          <w:b/>
          <w:bCs/>
        </w:rPr>
        <w:t xml:space="preserve">“active inference for CZB”</w:t>
      </w:r>
      <w:r>
        <w:t xml:space="preserve">. The within-scenario</w:t>
      </w:r>
      <w:r>
        <w:t xml:space="preserve"> </w:t>
      </w:r>
      <w:r>
        <w:t xml:space="preserve">evidence says the field is a good — not the best — single predictor, distinguished by</w:t>
      </w:r>
      <w:r>
        <w:t xml:space="preserve"> </w:t>
      </w:r>
      <w:r>
        <w:t xml:space="preserve">interpretability, portability claims, and its link to response timing rather than by</w:t>
      </w:r>
      <w:r>
        <w:t xml:space="preserve"> </w:t>
      </w:r>
      <w:r>
        <w:t xml:space="preserve">raw fit. The framework earns its keep if and only if (a) the accumulator closes most</w:t>
      </w:r>
      <w:r>
        <w:t xml:space="preserve"> </w:t>
      </w:r>
      <w:r>
        <w:t xml:space="preserve">of the within-scenario gap without per-scenario parameters, and (b) a level fitted on</w:t>
      </w:r>
      <w:r>
        <w:t xml:space="preserve"> </w:t>
      </w:r>
      <w:r>
        <w:t xml:space="preserve">cut-in predicts the other three scenarios better than chance and comparably to</w:t>
      </w:r>
      <w:r>
        <w:t xml:space="preserve"> </w:t>
      </w:r>
      <w:r>
        <w:t xml:space="preserve">per-scenario refits. If both hold, this is, to my knowledge, the first</w:t>
      </w:r>
      <w:r>
        <w:t xml:space="preserve"> </w:t>
      </w:r>
      <w:r>
        <w:t xml:space="preserve">one-dimensional, testable, driver-population CZB — a real contribution. If (b) fails,</w:t>
      </w:r>
      <w:r>
        <w:t xml:space="preserve"> </w:t>
      </w:r>
      <w:r>
        <w:t xml:space="preserve">the elliptical formulation on conventional indicators is the honest fallback and the</w:t>
      </w:r>
      <w:r>
        <w:t xml:space="preserve"> </w:t>
      </w:r>
      <w:r>
        <w:t xml:space="preserve">field reverts to being one indicator among several. Concretely decidable, on data we</w:t>
      </w:r>
      <w:r>
        <w:t xml:space="preserve"> </w:t>
      </w:r>
      <w:r>
        <w:t xml:space="preserve">already hold, within the current fitting plan — which is, I think, the strongest thing</w:t>
      </w:r>
      <w:r>
        <w:t xml:space="preserve"> </w:t>
      </w:r>
      <w:r>
        <w:t xml:space="preserve">that can be said for it.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2026-08-27T06:28:18Z</dcterms:created>
  <dcterms:modified xsi:type="dcterms:W3CDTF">2026-08-27T06:28:18Z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