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5e81c32e25f8c9746951fce88a8232cdfc72cb"/>
    <w:p>
      <w:pPr>
        <w:pStyle w:val="Heading1"/>
      </w:pPr>
      <w:r>
        <w:t xml:space="preserve">Review of the decisive pipeline: the R.2 field-versus-gap comparison</w:t>
      </w:r>
    </w:p>
    <w:p>
      <w:pPr>
        <w:pStyle w:val="FirstParagraph"/>
      </w:pPr>
      <w:r>
        <w:rPr>
          <w:i/>
          <w:iCs/>
        </w:rPr>
        <w:t xml:space="preserve">2026-09-02, tier-1 session, at Jonas’s instruction (</w:t>
      </w:r>
      <w:r>
        <w:rPr>
          <w:i/>
          <w:iCs/>
        </w:rPr>
        <w:t xml:space="preserve">“an adversarial review of the</w:t>
      </w:r>
      <w:r>
        <w:rPr>
          <w:i/>
          <w:iCs/>
        </w:rPr>
        <w:t xml:space="preserve"> </w:t>
      </w:r>
      <w:r>
        <w:rPr>
          <w:i/>
          <w:iCs/>
        </w:rPr>
        <w:t xml:space="preserve">decisive-test pipeline”</w:t>
      </w:r>
      <w:r>
        <w:rPr>
          <w:i/>
          <w:iCs/>
        </w:rPr>
        <w:t xml:space="preserve">). The headline negative result of the project rests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replication/czb/cutin2_field_vs_gap.py</w:t>
      </w:r>
      <w:r>
        <w:rPr>
          <w:i/>
          <w:iCs/>
        </w:rPr>
        <w:t xml:space="preserve">, the covariate code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src/comfortzone/</w:t>
      </w:r>
      <w:r>
        <w:rPr>
          <w:i/>
          <w:iCs/>
        </w:rPr>
        <w:t xml:space="preserve"> </w:t>
      </w:r>
      <w:r>
        <w:rPr>
          <w:i/>
          <w:iCs/>
        </w:rPr>
        <w:t xml:space="preserve">and the preference terms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src/aidriver/preferences.py</w:t>
      </w:r>
      <w:r>
        <w:rPr>
          <w:i/>
          <w:iCs/>
        </w:rPr>
        <w:t xml:space="preserve">. The C1 covariate-window</w:t>
      </w:r>
      <w:r>
        <w:rPr>
          <w:i/>
          <w:iCs/>
        </w:rPr>
        <w:t xml:space="preserve"> </w:t>
      </w:r>
      <w:r>
        <w:rPr>
          <w:i/>
          <w:iCs/>
        </w:rPr>
        <w:t xml:space="preserve">defect (closed 2026-08-29) showed that this code can hide sign-reversing errors, and</w:t>
      </w:r>
      <w:r>
        <w:rPr>
          <w:i/>
          <w:iCs/>
        </w:rPr>
        <w:t xml:space="preserve"> </w:t>
      </w:r>
      <w:r>
        <w:rPr>
          <w:i/>
          <w:iCs/>
        </w:rPr>
        <w:t xml:space="preserve">gate R.2 ran shortly after that fix. This document records what was re-derived, what</w:t>
      </w:r>
      <w:r>
        <w:rPr>
          <w:i/>
          <w:iCs/>
        </w:rPr>
        <w:t xml:space="preserve"> </w:t>
      </w:r>
      <w:r>
        <w:rPr>
          <w:i/>
          <w:iCs/>
        </w:rPr>
        <w:t xml:space="preserve">was found, and what it changes. Every number quoted comes from a committed script with</w:t>
      </w:r>
      <w:r>
        <w:rPr>
          <w:i/>
          <w:iCs/>
        </w:rPr>
        <w:t xml:space="preserve"> </w:t>
      </w:r>
      <w:r>
        <w:rPr>
          <w:i/>
          <w:iCs/>
        </w:rPr>
        <w:t xml:space="preserve">a tracked output: the registered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out/cutin2_field_vs_gap.md</w:t>
      </w:r>
      <w:r>
        <w:rPr>
          <w:i/>
          <w:iCs/>
        </w:rPr>
        <w:t xml:space="preserve">, and the new post-hoc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out/cutin2_lane_gate_diagnostic.md</w:t>
      </w:r>
      <w:r>
        <w:rPr>
          <w:i/>
          <w:iCs/>
        </w:rPr>
        <w:t xml:space="preserve"> </w:t>
      </w:r>
      <w:r>
        <w:rPr>
          <w:i/>
          <w:iCs/>
        </w:rPr>
        <w:t xml:space="preserve">(script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replication/czb/cutin2_lane_gate_diagnostic.py</w:t>
      </w:r>
      <w:r>
        <w:rPr>
          <w:i/>
          <w:iCs/>
        </w:rPr>
        <w:t xml:space="preserve">). Nothing here re-decides the gate;</w:t>
      </w:r>
      <w:r>
        <w:rPr>
          <w:i/>
          <w:iCs/>
        </w:rPr>
        <w:t xml:space="preserve"> </w:t>
      </w:r>
      <w:r>
        <w:rPr>
          <w:i/>
          <w:iCs/>
        </w:rPr>
        <w:t xml:space="preserve">the pre-registered verdict stands as registered.</w:t>
      </w:r>
    </w:p>
    <w:bookmarkStart w:id="9" w:name="the-outcome-in-one-paragraph"/>
    <w:p>
      <w:pPr>
        <w:pStyle w:val="Heading2"/>
      </w:pPr>
      <w:r>
        <w:t xml:space="preserve">0 The outcome in one paragraph</w:t>
      </w:r>
    </w:p>
    <w:p>
      <w:pPr>
        <w:pStyle w:val="FirstParagraph"/>
      </w:pPr>
      <w:r>
        <w:t xml:space="preserve">The verdict is sound and, as far as I can tell, not an artifact of the pipeline. An</w:t>
      </w:r>
      <w:r>
        <w:t xml:space="preserve"> </w:t>
      </w:r>
      <w:r>
        <w:t xml:space="preserve">independent fitting route reproduces every registered number to the third decimal, and</w:t>
      </w:r>
      <w:r>
        <w:t xml:space="preserve"> </w:t>
      </w:r>
      <w:r>
        <w:t xml:space="preserve">a cell bootstrap puts the field-minus-gap difference at +0.17 to +0.22 against a</w:t>
      </w:r>
      <w:r>
        <w:t xml:space="preserve"> </w:t>
      </w:r>
      <w:r>
        <w:t xml:space="preserve">pre-registered margin of 0.01. The review’s substantive contribution is a decomposition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field loses, which the gate record did not have: about 44% of the loss is</w:t>
      </w:r>
      <w:r>
        <w:t xml:space="preserve"> </w:t>
      </w:r>
      <w:r>
        <w:t xml:space="preserve">the lane-entry gate, a construction this project added on 2026-08-27, which suppresses</w:t>
      </w:r>
      <w:r>
        <w:t xml:space="preserve"> </w:t>
      </w:r>
      <w:r>
        <w:t xml:space="preserve">the deficit in exactly the cells participants respond to most, because it makes the</w:t>
      </w:r>
      <w:r>
        <w:t xml:space="preserve"> </w:t>
      </w:r>
      <w:r>
        <w:t xml:space="preserve">conflict depend on the lateral pace of the cut-in and participants do not; the</w:t>
      </w:r>
      <w:r>
        <w:t xml:space="preserve"> </w:t>
      </w:r>
      <w:r>
        <w:t xml:space="preserve">remaining 56% is the longitudinal magnitude itself, the released model’s worst-case</w:t>
      </w:r>
      <w:r>
        <w:t xml:space="preserve"> </w:t>
      </w:r>
      <w:r>
        <w:t xml:space="preserve">counterfactual, which in this study’s regime orders matched-TTC cells by the absolute</w:t>
      </w:r>
      <w:r>
        <w:t xml:space="preserve"> </w:t>
      </w:r>
      <w:r>
        <w:t xml:space="preserve">speeds of the two vehicles rather than by the gap. Both failures are interpretable,</w:t>
      </w:r>
      <w:r>
        <w:t xml:space="preserve"> </w:t>
      </w:r>
      <w:r>
        <w:t xml:space="preserve">both are properties of the field rather than of the code, and each gives the R2.Q5</w:t>
      </w:r>
      <w:r>
        <w:t xml:space="preserve"> </w:t>
      </w:r>
      <w:r>
        <w:t xml:space="preserve">exploration a concrete empirical constraint on what a replacement reference must do.</w:t>
      </w:r>
    </w:p>
    <w:bookmarkEnd w:id="9"/>
    <w:bookmarkStart w:id="10" w:name="what-was-checked-and-how"/>
    <w:p>
      <w:pPr>
        <w:pStyle w:val="Heading2"/>
      </w:pPr>
      <w:r>
        <w:t xml:space="preserve">1 What was checked, and how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registered script, line by line</w:t>
      </w:r>
      <w:r>
        <w:t xml:space="preserve">: the cell construction (participant means</w:t>
      </w:r>
      <w:r>
        <w:t xml:space="preserve"> </w:t>
      </w:r>
      <w:r>
        <w:t xml:space="preserve">per video, then weighted cell means), the CP1 exclusion, the four covariates and</w:t>
      </w:r>
      <w:r>
        <w:t xml:space="preserve"> </w:t>
      </w:r>
      <w:r>
        <w:t xml:space="preserve">their signs, the log transforms, the fold construction, the metric, the chance and</w:t>
      </w:r>
      <w:r>
        <w:t xml:space="preserve"> </w:t>
      </w:r>
      <w:r>
        <w:t xml:space="preserve">noise-floor references, and the decision rule.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field covariate’s provenance</w:t>
      </w:r>
      <w:r>
        <w:t xml:space="preserve">:</w:t>
      </w:r>
      <w:r>
        <w:t xml:space="preserve"> </w:t>
      </w:r>
      <w:r>
        <w:rPr>
          <w:rStyle w:val="VerbatimChar"/>
        </w:rPr>
        <w:t xml:space="preserve">cutin_predictors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cutin_params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src/comfortzone/cutin.py</w:t>
      </w:r>
      <w:r>
        <w:t xml:space="preserve">, the shown-window accumulation, and the six preference</w:t>
      </w:r>
      <w:r>
        <w:t xml:space="preserve"> </w:t>
      </w:r>
      <w:r>
        <w:t xml:space="preserve">terms with their gates in</w:t>
      </w:r>
      <w:r>
        <w:t xml:space="preserve"> </w:t>
      </w:r>
      <w:r>
        <w:rPr>
          <w:rStyle w:val="VerbatimChar"/>
        </w:rPr>
        <w:t xml:space="preserve">src/aidriver/preferences.py</w:t>
      </w:r>
      <w:r>
        <w:t xml:space="preserve">, read against the values</w:t>
      </w:r>
      <w:r>
        <w:t xml:space="preserve"> </w:t>
      </w:r>
      <w:r>
        <w:t xml:space="preserve">the study’s cells actually take (the deficit on these cells is almost entirely the</w:t>
      </w:r>
      <w:r>
        <w:t xml:space="preserve"> </w:t>
      </w:r>
      <w:r>
        <w:t xml:space="preserve">safety term; the control-effort term contributes the ~1 000-unit jitter floor the</w:t>
      </w:r>
      <w:r>
        <w:t xml:space="preserve"> </w:t>
      </w:r>
      <w:r>
        <w:t xml:space="preserve">registered report’s section 5 already documents).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independent fit</w:t>
      </w:r>
      <w:r>
        <w:t xml:space="preserve">: the same three-parameter threshold model fitted by a dense</w:t>
      </w:r>
      <w:r>
        <w:t xml:space="preserve"> </w:t>
      </w:r>
      <w:r>
        <w:t xml:space="preserve">grid over threshold and spread with the lapse solved in closed form, instead of the</w:t>
      </w:r>
      <w:r>
        <w:t xml:space="preserve"> </w:t>
      </w:r>
      <w:r>
        <w:t xml:space="preserve">registered multi-start L-BFGS-B, on the same cells, folds and metric.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decomposition</w:t>
      </w:r>
      <w:r>
        <w:t xml:space="preserve">: the field recomputed with the lane-entry gate forced to 1, raw</w:t>
      </w:r>
      <w:r>
        <w:t xml:space="preserve"> </w:t>
      </w:r>
      <w:r>
        <w:t xml:space="preserve">and with the ego-speed jitter removed, and the registered comparison re-run on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sensitivities</w:t>
      </w:r>
      <w:r>
        <w:t xml:space="preserve"> </w:t>
      </w:r>
      <w:r>
        <w:t xml:space="preserve">of the safety magnitude to gap, lead speed and ego speed at</w:t>
      </w:r>
      <w:r>
        <w:t xml:space="preserve"> </w:t>
      </w:r>
      <w:r>
        <w:t xml:space="preserve">four of the study’s cells, to read the within-row failure mechanistically.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trace-versus-annotation discrepancies</w:t>
      </w:r>
      <w:r>
        <w:t xml:space="preserve"> </w:t>
      </w:r>
      <w:r>
        <w:t xml:space="preserve">of the registered report’s section 0,</w:t>
      </w:r>
      <w:r>
        <w:t xml:space="preserve"> </w:t>
      </w:r>
      <w:r>
        <w:t xml:space="preserve">located by design cell.</w:t>
      </w:r>
    </w:p>
    <w:bookmarkEnd w:id="10"/>
    <w:bookmarkStart w:id="11" w:name="the-verdict-is-numerically-robust"/>
    <w:p>
      <w:pPr>
        <w:pStyle w:val="Heading2"/>
      </w:pPr>
      <w:r>
        <w:t xml:space="preserve">2 The verdict is numerically robust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grid fit wRMSE</w:t>
            </w:r>
          </w:p>
        </w:tc>
        <w:tc>
          <w:tcPr/>
          <w:p>
            <w:pPr>
              <w:pStyle w:val="Compact"/>
            </w:pPr>
            <w:r>
              <w:t xml:space="preserve">registered wRMSE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0.3508</w:t>
            </w:r>
          </w:p>
        </w:tc>
        <w:tc>
          <w:tcPr/>
          <w:p>
            <w:pPr>
              <w:pStyle w:val="Compact"/>
            </w:pPr>
            <w:r>
              <w:t xml:space="preserve">0.3471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(log)</w:t>
            </w:r>
          </w:p>
        </w:tc>
        <w:tc>
          <w:tcPr/>
          <w:p>
            <w:pPr>
              <w:pStyle w:val="Compact"/>
            </w:pPr>
            <w:r>
              <w:t xml:space="preserve">0.1531</w:t>
            </w:r>
          </w:p>
        </w:tc>
        <w:tc>
          <w:tcPr/>
          <w:p>
            <w:pPr>
              <w:pStyle w:val="Compact"/>
            </w:pPr>
            <w:r>
              <w:t xml:space="preserve">0.1522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TTC (log)</w:t>
            </w:r>
          </w:p>
        </w:tc>
        <w:tc>
          <w:tcPr/>
          <w:p>
            <w:pPr>
              <w:pStyle w:val="Compact"/>
            </w:pPr>
            <w:r>
              <w:t xml:space="preserve">0.1679</w:t>
            </w:r>
          </w:p>
        </w:tc>
        <w:tc>
          <w:tcPr/>
          <w:p>
            <w:pPr>
              <w:pStyle w:val="Compact"/>
            </w:pPr>
            <w:r>
              <w:t xml:space="preserve">0.1679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deceleration (log)</w:t>
            </w:r>
          </w:p>
        </w:tc>
        <w:tc>
          <w:tcPr/>
          <w:p>
            <w:pPr>
              <w:pStyle w:val="Compact"/>
            </w:pPr>
            <w:r>
              <w:t xml:space="preserve">0.2890</w:t>
            </w:r>
          </w:p>
        </w:tc>
        <w:tc>
          <w:tcPr/>
          <w:p>
            <w:pPr>
              <w:pStyle w:val="Compact"/>
            </w:pPr>
            <w:r>
              <w:t xml:space="preserve">0.2888</w:t>
            </w:r>
          </w:p>
        </w:tc>
      </w:tr>
    </w:tbl>
    <w:p>
      <w:pPr>
        <w:pStyle w:val="BodyText"/>
      </w:pPr>
      <w:r>
        <w:t xml:space="preserve">Field minus gap: +0.198 by the grid, +0.195 as registered; cell-bootstrap 95% interval</w:t>
      </w:r>
      <w:r>
        <w:t xml:space="preserve"> </w:t>
      </w:r>
      <w:r>
        <w:t xml:space="preserve">[+0.174, +0.222]. The differences between the two routes are at the third decimal and</w:t>
      </w:r>
      <w:r>
        <w:t xml:space="preserve"> </w:t>
      </w:r>
      <w:r>
        <w:t xml:space="preserve">come from the flatness of the threshold objective on the field’s heavy-tailed scale; at</w:t>
      </w:r>
      <w:r>
        <w:t xml:space="preserve"> </w:t>
      </w:r>
      <w:r>
        <w:t xml:space="preserve">a margin of 0.01 they do not matter. Per fold, the field’s worst transfer is to the</w:t>
      </w:r>
      <w:r>
        <w:t xml:space="preserve"> </w:t>
      </w:r>
      <w:r>
        <w:t xml:space="preserve">2 s starting-TTC level held out (wRMSE 0.469), where the thresholds fitted on the</w:t>
      </w:r>
      <w:r>
        <w:t xml:space="preserve"> </w:t>
      </w:r>
      <w:r>
        <w:t xml:space="preserve">milder levels sit above the most critical cells’ deficits and predict low intervention</w:t>
      </w:r>
      <w:r>
        <w:t xml:space="preserve"> </w:t>
      </w:r>
      <w:r>
        <w:t xml:space="preserve">where the data are at 0.67 to 0.94. That is the extrapolation a grouped fold is meant</w:t>
      </w:r>
      <w:r>
        <w:t xml:space="preserve"> </w:t>
      </w:r>
      <w:r>
        <w:t xml:space="preserve">to test, and the gap threshold transfers to the same fold at 0.155.</w:t>
      </w:r>
    </w:p>
    <w:p>
      <w:pPr>
        <w:pStyle w:val="BodyText"/>
      </w:pPr>
      <w:r>
        <w:t xml:space="preserve">One model-free number settles that this is not a fitting question: on the 288 decisive</w:t>
      </w:r>
      <w:r>
        <w:t xml:space="preserve"> </w:t>
      </w:r>
      <w:r>
        <w:t xml:space="preserve">cells the field covariate’s rank correlation with the cell response is +0.14, against</w:t>
      </w:r>
      <w:r>
        <w:t xml:space="preserve"> </w:t>
      </w:r>
      <w:r>
        <w:t xml:space="preserve">the gap’s +0.86 and TTC’s +0.81. No threshold model can order cells that the covariate</w:t>
      </w:r>
      <w:r>
        <w:t xml:space="preserve"> </w:t>
      </w:r>
      <w:r>
        <w:t xml:space="preserve">does not order.</w:t>
      </w:r>
    </w:p>
    <w:bookmarkEnd w:id="11"/>
    <w:bookmarkStart w:id="15" w:name="X1acd45b893e97cbefdba02b485389f7382c36b7"/>
    <w:p>
      <w:pPr>
        <w:pStyle w:val="Heading2"/>
      </w:pPr>
      <w:r>
        <w:t xml:space="preserve">3 Where the loss comes from: two separable mechanisms</w:t>
      </w:r>
    </w:p>
    <w:p>
      <w:pPr>
        <w:pStyle w:val="FirstParagraph"/>
      </w:pPr>
      <w:r>
        <w:t xml:space="preserve">The field covariate on these cells is, to a good approximation,</w:t>
      </w:r>
    </w:p>
    <w:p>
      <w:pPr>
        <w:pStyle w:val="BlockText"/>
      </w:pPr>
      <w:r>
        <w:t xml:space="preserve">deficit = gate(lateral state) × magnitude(longitudinal counterfactual) + jitter floor</w:t>
      </w:r>
    </w:p>
    <w:p>
      <w:pPr>
        <w:pStyle w:val="FirstParagraph"/>
      </w:pPr>
      <w:r>
        <w:t xml:space="preserve">with the gate the lane-entry weight and the magnitude the residual relative speed in the</w:t>
      </w:r>
      <w:r>
        <w:t xml:space="preserve"> </w:t>
      </w:r>
      <w:r>
        <w:t xml:space="preserve">released model’s counterfactual</w:t>
      </w:r>
      <w:r>
        <w:t xml:space="preserve"> </w:t>
      </w:r>
      <w:r>
        <w:t xml:space="preserve">“lead brakes at 6 m/s² to a stop; I react after 1 s and</w:t>
      </w:r>
      <w:r>
        <w:t xml:space="preserve"> </w:t>
      </w:r>
      <w:r>
        <w:t xml:space="preserve">brake at 8 m/s²”</w:t>
      </w:r>
      <w:r>
        <w:t xml:space="preserve">. The two can be separated.</w:t>
      </w:r>
    </w:p>
    <w:bookmarkStart w:id="12" w:name="the-lane-entry-gate-about-44-of-the-loss"/>
    <w:p>
      <w:pPr>
        <w:pStyle w:val="Heading3"/>
      </w:pPr>
      <w:r>
        <w:t xml:space="preserve">3.1 The lane-entry gate, about 44% of the loss</w:t>
      </w:r>
    </w:p>
    <w:p>
      <w:pPr>
        <w:pStyle w:val="FirstParagraph"/>
      </w:pPr>
      <w:r>
        <w:t xml:space="preserve">With the gate forced to 1 from the first post-onset frame, the field’s held-out wRMSE</w:t>
      </w:r>
      <w:r>
        <w:t xml:space="preserve"> </w:t>
      </w:r>
      <w:r>
        <w:t xml:space="preserve">falls from 0.352 to 0.265 (0.273 with the ego speed smoothed), and its model-free rank</w:t>
      </w:r>
      <w:r>
        <w:t xml:space="preserve"> </w:t>
      </w:r>
      <w:r>
        <w:t xml:space="preserve">correlation with the response rises from +0.14 to +0.45. That recovers +0.087 of the</w:t>
      </w:r>
      <w:r>
        <w:t xml:space="preserve"> </w:t>
      </w:r>
      <w:r>
        <w:t xml:space="preserve">+0.199 deficit against the gap threshold.</w:t>
      </w:r>
    </w:p>
    <w:p>
      <w:pPr>
        <w:pStyle w:val="BodyText"/>
      </w:pPr>
      <w:r>
        <w:t xml:space="preserve">The mechanism is visible in single cells. At starting TTC 2 s, clip point 5, delta</w:t>
      </w:r>
      <w:r>
        <w:t xml:space="preserve"> </w:t>
      </w:r>
      <w:r>
        <w:t xml:space="preserve">velocity 21 km/h, participants intervene at 0.85, 0.92 and 0.92 for the 2, 3 and 4 s</w:t>
      </w:r>
      <w:r>
        <w:t xml:space="preserve"> </w:t>
      </w:r>
      <w:r>
        <w:t xml:space="preserve">lane-change durations; the field gives 10 005, 4 205 and 171. The lane-entry weight is</w:t>
      </w:r>
      <w:r>
        <w:t xml:space="preserve"> </w:t>
      </w:r>
      <w:r>
        <w:t xml:space="preserve">the lateral overlap</w:t>
      </w:r>
      <w:r>
        <w:t xml:space="preserve"> </w:t>
      </w:r>
      <w:r>
        <w:rPr>
          <w:i/>
          <w:iCs/>
        </w:rPr>
        <w:t xml:space="preserve">predicted at the moment of longitudinal closure</w:t>
      </w:r>
      <w:r>
        <w:t xml:space="preserve">, projected at the</w:t>
      </w:r>
      <w:r>
        <w:t xml:space="preserve"> </w:t>
      </w:r>
      <w:r>
        <w:t xml:space="preserve">current lateral closing rate over the longitudinal TTC. With the gap closing in under a</w:t>
      </w:r>
      <w:r>
        <w:t xml:space="preserve"> </w:t>
      </w:r>
      <w:r>
        <w:t xml:space="preserve">second and the target moving laterally at the pace of a 4 s lane change, the projection</w:t>
      </w:r>
      <w:r>
        <w:t xml:space="preserve"> </w:t>
      </w:r>
      <w:r>
        <w:t xml:space="preserve">says the target will not have entered the lane by the time the gap closes, so the</w:t>
      </w:r>
      <w:r>
        <w:t xml:space="preserve"> </w:t>
      </w:r>
      <w:r>
        <w:t xml:space="preserve">conflict geometry barely applies. Sixty-four of the 288 cells have a gate below 0.9 at</w:t>
      </w:r>
      <w:r>
        <w:t xml:space="preserve"> </w:t>
      </w:r>
      <w:r>
        <w:t xml:space="preserve">the shown-window end, all of them at starting TTC 2 s (3 and 4 s lane changes) and 3 s</w:t>
      </w:r>
      <w:r>
        <w:t xml:space="preserve"> </w:t>
      </w:r>
      <w:r>
        <w:t xml:space="preserve">(4 s lane changes), and their mean response is 0.75 against 0.51 elsewhere: the gate</w:t>
      </w:r>
      <w:r>
        <w:t xml:space="preserve"> </w:t>
      </w:r>
      <w:r>
        <w:t xml:space="preserve">acts precisely where participants respond most. This is also why the registered field</w:t>
      </w:r>
      <w:r>
        <w:t xml:space="preserve"> </w:t>
      </w:r>
      <w:r>
        <w:t xml:space="preserve">is non-monotone in starting TTC (median deficit 3 208 at 2 s against 7 179 at 3 s)</w:t>
      </w:r>
      <w:r>
        <w:t xml:space="preserve"> </w:t>
      </w:r>
      <w:r>
        <w:t xml:space="preserve">while the response is monotone.</w:t>
      </w:r>
    </w:p>
    <w:p>
      <w:pPr>
        <w:pStyle w:val="BodyText"/>
      </w:pPr>
      <w:r>
        <w:t xml:space="preserve">The study’s own context file records that lane-change duration is confounded with</w:t>
      </w:r>
      <w:r>
        <w:t xml:space="preserve"> </w:t>
      </w:r>
      <w:r>
        <w:t xml:space="preserve">lateral position at clip end. The data say participants do not use it: at matched</w:t>
      </w:r>
      <w:r>
        <w:t xml:space="preserve"> </w:t>
      </w:r>
      <w:r>
        <w:t xml:space="preserve">starting TTC, clip point and delta velocity the response is flat across duration. The</w:t>
      </w:r>
      <w:r>
        <w:t xml:space="preserve"> </w:t>
      </w:r>
      <w:r>
        <w:t xml:space="preserve">field’s gate says the opposite, because it is a collision-geometry criterion, and a</w:t>
      </w:r>
      <w:r>
        <w:t xml:space="preserve"> </w:t>
      </w:r>
      <w:r>
        <w:t xml:space="preserve">collision genuinely does depend on where the target will be when the gap closes. The</w:t>
      </w:r>
      <w:r>
        <w:t xml:space="preserve"> </w:t>
      </w:r>
      <w:r>
        <w:t xml:space="preserve">way I read it, participants respond to</w:t>
      </w:r>
      <w:r>
        <w:t xml:space="preserve"> </w:t>
      </w:r>
      <w:r>
        <w:rPr>
          <w:i/>
          <w:iCs/>
        </w:rPr>
        <w:t xml:space="preserve">encroachment having begun</w:t>
      </w:r>
      <w:r>
        <w:t xml:space="preserve">, not to the</w:t>
      </w:r>
      <w:r>
        <w:t xml:space="preserve"> </w:t>
      </w:r>
      <w:r>
        <w:t xml:space="preserve">projected overlap at closure.</w:t>
      </w:r>
    </w:p>
    <w:bookmarkEnd w:id="12"/>
    <w:bookmarkStart w:id="13" w:name="X18dcc77ba6d59c6215da7e29cd980df90a5efba"/>
    <w:p>
      <w:pPr>
        <w:pStyle w:val="Heading3"/>
      </w:pPr>
      <w:r>
        <w:t xml:space="preserve">3.2 The counterfactual magnitude, about 56% of the loss</w:t>
      </w:r>
    </w:p>
    <w:p>
      <w:pPr>
        <w:pStyle w:val="FirstParagraph"/>
      </w:pPr>
      <w:r>
        <w:t xml:space="preserve">The gate-free field still loses to the gap threshold by 0.113 and to TTC, and it orders</w:t>
      </w:r>
      <w:r>
        <w:t xml:space="preserve"> </w:t>
      </w:r>
      <w:r>
        <w:t xml:space="preserve">only a minority of matched-TTC rows in the observed direction (mean rank correlation</w:t>
      </w:r>
      <w:r>
        <w:t xml:space="preserve"> </w:t>
      </w:r>
      <w:r>
        <w:t xml:space="preserve">−0.28 against the gap’s −0.73). The registered report’s sign derivation already</w:t>
      </w:r>
      <w:r>
        <w:t xml:space="preserve"> </w:t>
      </w:r>
      <w:r>
        <w:t xml:space="preserve">attributes this to the counterfactual-residual term; the sensitivities make the</w:t>
      </w:r>
      <w:r>
        <w:t xml:space="preserve"> </w:t>
      </w:r>
      <w:r>
        <w:t xml:space="preserve">mechanism explicit. At the study’s cells the magnitude moves by about a third of a</w:t>
      </w:r>
      <w:r>
        <w:t xml:space="preserve"> </w:t>
      </w:r>
      <w:r>
        <w:t xml:space="preserve">metre per second per metre of gap, and by one and a half to two metres per second per</w:t>
      </w:r>
      <w:r>
        <w:t xml:space="preserve"> </w:t>
      </w:r>
      <w:r>
        <w:t xml:space="preserve">metre per second of</w:t>
      </w:r>
      <w:r>
        <w:t xml:space="preserve"> </w:t>
      </w:r>
      <w:r>
        <w:rPr>
          <w:i/>
          <w:iCs/>
        </w:rPr>
        <w:t xml:space="preserve">either vehicle’s speed</w:t>
      </w:r>
      <w:r>
        <w:t xml:space="preserve">. The reason is the counterfactual itself:</w:t>
      </w:r>
      <w:r>
        <w:t xml:space="preserve"> </w:t>
      </w:r>
      <w:r>
        <w:t xml:space="preserve">the available distance is the gap plus the lead’s stopping distance from its current</w:t>
      </w:r>
      <w:r>
        <w:t xml:space="preserve"> </w:t>
      </w:r>
      <w:r>
        <w:t xml:space="preserve">speed minus the ego’s reaction distance, and in this regime (ego at 110 to 130 km/h,</w:t>
      </w:r>
      <w:r>
        <w:t xml:space="preserve"> </w:t>
      </w:r>
      <w:r>
        <w:t xml:space="preserve">gaps 4 to 80 m) the counterfactual is violated in nearly every cell, so the term</w:t>
      </w:r>
      <w:r>
        <w:t xml:space="preserve"> </w:t>
      </w:r>
      <w:r>
        <w:t xml:space="preserve">measures how bad the worst case would be, which the absolute speeds set far more than</w:t>
      </w:r>
      <w:r>
        <w:t xml:space="preserve"> </w:t>
      </w:r>
      <w:r>
        <w:t xml:space="preserve">the current gap does.</w:t>
      </w:r>
    </w:p>
    <w:p>
      <w:pPr>
        <w:pStyle w:val="BodyText"/>
      </w:pPr>
      <w:r>
        <w:t xml:space="preserve">The study then realizes its delta-velocity levels partly through the ego speed (30.7</w:t>
      </w:r>
      <w:r>
        <w:t xml:space="preserve"> </w:t>
      </w:r>
      <w:r>
        <w:t xml:space="preserve">m/s in the 21 km/h clips, 36.5 m/s in the 42 km/h clips, the target at 25.0 m/s in</w:t>
      </w:r>
      <w:r>
        <w:t xml:space="preserve"> </w:t>
      </w:r>
      <w:r>
        <w:t xml:space="preserve">both). At matched TTC 0.8 s the 42 km/h cell, with the larger gap, scores 30.7 against</w:t>
      </w:r>
      <w:r>
        <w:t xml:space="preserve"> </w:t>
      </w:r>
      <w:r>
        <w:t xml:space="preserve">the 21 km/h cell’s 23.1; holding both speeds fixed, the larger gap alone would give</w:t>
      </w:r>
      <w:r>
        <w:t xml:space="preserve"> </w:t>
      </w:r>
      <w:r>
        <w:t xml:space="preserve">21.5, the direction the data take. So within a matched-TTC row the field ranks cells by</w:t>
      </w:r>
      <w:r>
        <w:t xml:space="preserve"> </w:t>
      </w:r>
      <w:r>
        <w:t xml:space="preserve">how fast the vehicles are going, and participants rank them by how far apart they are.</w:t>
      </w:r>
    </w:p>
    <w:bookmarkEnd w:id="13"/>
    <w:bookmarkStart w:id="14" w:name="Xaebd7a53fa1d0c32a584ca6c1aba94fa7ab18c9"/>
    <w:p>
      <w:pPr>
        <w:pStyle w:val="Heading3"/>
      </w:pPr>
      <w:r>
        <w:t xml:space="preserve">3.3 What this does and does not change about</w:t>
      </w:r>
      <w:r>
        <w:t xml:space="preserve"> </w:t>
      </w:r>
      <w:r>
        <w:t xml:space="preserve">“kinematic content ruled out”</w:t>
      </w:r>
    </w:p>
    <w:p>
      <w:pPr>
        <w:pStyle w:val="FirstParagraph"/>
      </w:pPr>
      <w:r>
        <w:t xml:space="preserve">Nothing in the verdict changes. Both mechanisms are properties of the field as</w:t>
      </w:r>
      <w:r>
        <w:t xml:space="preserve"> </w:t>
      </w:r>
      <w:r>
        <w:t xml:space="preserve">specified, not of the code: the gate computes what it was designed to compute, and the</w:t>
      </w:r>
      <w:r>
        <w:t xml:space="preserve"> </w:t>
      </w:r>
      <w:r>
        <w:t xml:space="preserve">magnitude is the released term made continuous. What the decomposition adds is scope.</w:t>
      </w:r>
      <w:r>
        <w:t xml:space="preserve"> </w:t>
      </w:r>
      <w:r>
        <w:t xml:space="preserve">The gate is a project construction, so its share of the loss is a verdict on our</w:t>
      </w:r>
      <w:r>
        <w:t xml:space="preserve"> </w:t>
      </w:r>
      <w:r>
        <w:t xml:space="preserve">2026-08-27 lane-entry note rather than on the published model; the magnitude’s share</w:t>
      </w:r>
      <w:r>
        <w:t xml:space="preserve"> </w:t>
      </w:r>
      <w:r>
        <w:t xml:space="preserve">is a verdict on the published safety term’s counterfactual as a comfort criterion. I</w:t>
      </w:r>
      <w:r>
        <w:t xml:space="preserve"> </w:t>
      </w:r>
      <w:r>
        <w:t xml:space="preserve">have not run the released binary gate on this study, but its geometry (a target is</w:t>
      </w:r>
      <w:r>
        <w:t xml:space="preserve"> </w:t>
      </w:r>
      <w:r>
        <w:t xml:space="preserve">“in</w:t>
      </w:r>
      <w:r>
        <w:t xml:space="preserve"> </w:t>
      </w:r>
      <w:r>
        <w:t xml:space="preserve">lane”</w:t>
      </w:r>
      <w:r>
        <w:t xml:space="preserve"> </w:t>
      </w:r>
      <w:r>
        <w:t xml:space="preserve">only within 1.15 vehicle widths) would, as far as I can see, suppress the same</w:t>
      </w:r>
      <w:r>
        <w:t xml:space="preserve"> </w:t>
      </w:r>
      <w:r>
        <w:t xml:space="preserve">slow-lane-change cells at least as hard; a cheap check if anyone wants the sentence in</w:t>
      </w:r>
      <w:r>
        <w:t xml:space="preserve"> </w:t>
      </w:r>
      <w:r>
        <w:t xml:space="preserve">a paper to say</w:t>
      </w:r>
      <w:r>
        <w:t xml:space="preserve"> </w:t>
      </w:r>
      <w:r>
        <w:t xml:space="preserve">“released gate”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“our gate”</w:t>
      </w:r>
      <w:r>
        <w:t xml:space="preserve">.</w:t>
      </w:r>
    </w:p>
    <w:bookmarkEnd w:id="14"/>
    <w:bookmarkEnd w:id="15"/>
    <w:bookmarkStart w:id="16" w:name="smaller-findings"/>
    <w:p>
      <w:pPr>
        <w:pStyle w:val="Heading2"/>
      </w:pPr>
      <w:r>
        <w:t xml:space="preserve">4 Smaller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Optimizer sensitivity.</w:t>
      </w:r>
      <w:r>
        <w:t xml:space="preserve"> </w:t>
      </w:r>
      <w:r>
        <w:t xml:space="preserve">Re-running the registered fit on the same cells in a</w:t>
      </w:r>
      <w:r>
        <w:t xml:space="preserve"> </w:t>
      </w:r>
      <w:r>
        <w:t xml:space="preserve">different row order moves the field’s wRMSE by up to 0.005 (0.3471 to 0.3516), which</w:t>
      </w:r>
      <w:r>
        <w:t xml:space="preserve"> </w:t>
      </w:r>
      <w:r>
        <w:t xml:space="preserve">is the multi-start L-BFGS-B landing in different local optima of a flat objective. It</w:t>
      </w:r>
      <w:r>
        <w:t xml:space="preserve"> </w:t>
      </w:r>
      <w:r>
        <w:t xml:space="preserve">is irrelevant at the margin, but it means the registered numbers are not bit-for-bit</w:t>
      </w:r>
      <w:r>
        <w:t xml:space="preserve"> </w:t>
      </w:r>
      <w:r>
        <w:t xml:space="preserve">reproducible under permutation. A denser start grid or the closed-form-lapse grid</w:t>
      </w:r>
      <w:r>
        <w:t xml:space="preserve"> </w:t>
      </w:r>
      <w:r>
        <w:t xml:space="preserve">would make them so; not worth changing a registered script for.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Trace versus annotation.</w:t>
      </w:r>
      <w:r>
        <w:t xml:space="preserve"> </w:t>
      </w:r>
      <w:r>
        <w:t xml:space="preserve">The registered report’s maximum TTC discrepancy of 1.9 s</w:t>
      </w:r>
      <w:r>
        <w:t xml:space="preserve"> </w:t>
      </w:r>
      <w:r>
        <w:t xml:space="preserve">sits entirely in the 7 km/h clips, where a closing speed of 1.9 m/s turns</w:t>
      </w:r>
      <w:r>
        <w:t xml:space="preserve"> </w:t>
      </w:r>
      <w:r>
        <w:t xml:space="preserve">centimetre-per-second differences into seconds of TTC (median discrepancy 1.2 s at</w:t>
      </w:r>
      <w:r>
        <w:t xml:space="preserve"> </w:t>
      </w:r>
      <w:r>
        <w:t xml:space="preserve">7 km/h, 0.07 s at 42 km/h). The gap discrepancy is a near-constant 0.7 to 1.9 m</w:t>
      </w:r>
      <w:r>
        <w:t xml:space="preserve"> </w:t>
      </w:r>
      <w:r>
        <w:t xml:space="preserve">offset from where the gap is measured. Since the design scalars enter at their</w:t>
      </w:r>
      <w:r>
        <w:t xml:space="preserve"> </w:t>
      </w:r>
      <w:r>
        <w:t xml:space="preserve">annotated values and the field at the trace’s, and the participants saw the rendered</w:t>
      </w:r>
      <w:r>
        <w:t xml:space="preserve"> </w:t>
      </w:r>
      <w:r>
        <w:t xml:space="preserve">trace, any such discrepancy handicaps the design scalars, not the field.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noise floor</w:t>
      </w:r>
      <w:r>
        <w:t xml:space="preserve"> </w:t>
      </w:r>
      <w:r>
        <w:t xml:space="preserve">is computed from participants per cell, while block-1 videos are</w:t>
      </w:r>
      <w:r>
        <w:t xml:space="preserve"> </w:t>
      </w:r>
      <w:r>
        <w:t xml:space="preserve">seen twice by the same participant; the floor is therefore slightly conservative</w:t>
      </w:r>
      <w:r>
        <w:t xml:space="preserve"> </w:t>
      </w:r>
      <w:r>
        <w:t xml:space="preserve">(higher than the true sampling noise). The gap threshold’s 0.152 against a floor of</w:t>
      </w:r>
      <w:r>
        <w:t xml:space="preserve"> </w:t>
      </w:r>
      <w:r>
        <w:t xml:space="preserve">0.118 is, if anything, closer to the floor than stated.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sign slip in the record’s gloss of the within-row counts.</w:t>
      </w:r>
      <w:r>
        <w:t xml:space="preserve"> </w:t>
      </w:r>
      <w:r>
        <w:t xml:space="preserve">The registered</w:t>
      </w:r>
      <w:r>
        <w:t xml:space="preserve"> </w:t>
      </w:r>
      <w:r>
        <w:t xml:space="preserve">report’s section 5 states, correctly, that the smoothed field’s rank correlation with</w:t>
      </w:r>
      <w:r>
        <w:t xml:space="preserve"> </w:t>
      </w:r>
      <w:r>
        <w:t xml:space="preserve">the response is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in 14 of 24 matched-TTC rows. The gate record, the scope</w:t>
      </w:r>
      <w:r>
        <w:t xml:space="preserve"> </w:t>
      </w:r>
      <w:r>
        <w:t xml:space="preserve">map and the handover gloss this as</w:t>
      </w:r>
      <w:r>
        <w:t xml:space="preserve"> </w:t>
      </w:r>
      <w:r>
        <w:t xml:space="preserve">“orders 14 of 24 rows in the observed direction”</w:t>
      </w:r>
      <w:r>
        <w:t xml:space="preserve">.</w:t>
      </w:r>
      <w:r>
        <w:t xml:space="preserve"> </w:t>
      </w:r>
      <w:r>
        <w:t xml:space="preserve">For a criticality measure the observed direction is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(more deficit, more</w:t>
      </w:r>
      <w:r>
        <w:t xml:space="preserve"> </w:t>
      </w:r>
      <w:r>
        <w:t xml:space="preserve">intervention; the gap’s direction is negative because it is a distance), so the</w:t>
      </w:r>
      <w:r>
        <w:t xml:space="preserve"> </w:t>
      </w:r>
      <w:r>
        <w:t xml:space="preserve">field orders 10 of 24 rows like the data and is anti-ordered in 14. The slip is in</w:t>
      </w:r>
      <w:r>
        <w:t xml:space="preserve"> </w:t>
      </w:r>
      <w:r>
        <w:t xml:space="preserve">the wording, not the numbers, and it understates the field’s failure; corrected in</w:t>
      </w:r>
      <w:r>
        <w:t xml:space="preserve"> </w:t>
      </w:r>
      <w:r>
        <w:t xml:space="preserve">place with a dated note in the gate record and in the 60-minute talk’s build script</w:t>
      </w:r>
      <w:r>
        <w:t xml:space="preserve"> </w:t>
      </w:r>
      <w:r>
        <w:t xml:space="preserve">(the built 60-minute deck is not regenerated, per query TALK.Q2, so its slide 36</w:t>
      </w:r>
      <w:r>
        <w:t xml:space="preserve"> </w:t>
      </w:r>
      <w:r>
        <w:t xml:space="preserve">still carries the old wording until Jonas rebuilds or edits it). Removing the gate makes the within-row ordering worse still (6 to 7 of 24),</w:t>
      </w:r>
      <w:r>
        <w:t xml:space="preserve"> </w:t>
      </w:r>
      <w:r>
        <w:t xml:space="preserve">because the gate’s suppression of slow-lane-change cells happened to work against the</w:t>
      </w:r>
      <w:r>
        <w:t xml:space="preserve"> </w:t>
      </w:r>
      <w:r>
        <w:t xml:space="preserve">magnitude’s speed ordering in some rows; the row statistic is the wrong place to read</w:t>
      </w:r>
      <w:r>
        <w:t xml:space="preserve"> </w:t>
      </w:r>
      <w:r>
        <w:t xml:space="preserve">the gate’s effect, the held-out score is.</w:t>
      </w:r>
    </w:p>
    <w:bookmarkEnd w:id="16"/>
    <w:bookmarkStart w:id="17" w:name="X06a93f733637c40f32f1c9e7e059f8a2384827c"/>
    <w:p>
      <w:pPr>
        <w:pStyle w:val="Heading2"/>
      </w:pPr>
      <w:r>
        <w:t xml:space="preserve">5 What it means for the surprise-without-the-field question</w:t>
      </w:r>
    </w:p>
    <w:p>
      <w:pPr>
        <w:pStyle w:val="FirstParagraph"/>
      </w:pPr>
      <w:r>
        <w:t xml:space="preserve">Jonas’s open question at R2.Q5 is whether the surprise elements can stand on their own</w:t>
      </w:r>
      <w:r>
        <w:t xml:space="preserve"> </w:t>
      </w:r>
      <w:r>
        <w:t xml:space="preserve">as a scenario-agnostic metric with the preference field dropped, and the scope map</w:t>
      </w:r>
      <w:r>
        <w:t xml:space="preserve"> </w:t>
      </w:r>
      <w:r>
        <w:t xml:space="preserve">names the crux: every surprise measure needs a reference distribution, and the field</w:t>
      </w:r>
      <w:r>
        <w:t xml:space="preserve"> </w:t>
      </w:r>
      <w:r>
        <w:t xml:space="preserve">was ours. This review gives that exploration two empirical constraints, stated as</w:t>
      </w:r>
      <w:r>
        <w:t xml:space="preserve"> </w:t>
      </w:r>
      <w:r>
        <w:t xml:space="preserve">constraints on any candidate reference rather than as findings about surprise: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 must engage at encroachment onset, independent of the lateral pace.</w:t>
      </w:r>
      <w:r>
        <w:t xml:space="preserve"> </w:t>
      </w:r>
      <w:r>
        <w:t xml:space="preserve">The</w:t>
      </w:r>
      <w:r>
        <w:t xml:space="preserve"> </w:t>
      </w:r>
      <w:r>
        <w:t xml:space="preserve">participants’ response is flat across lane-change duration at matched time since</w:t>
      </w:r>
      <w:r>
        <w:t xml:space="preserve"> </w:t>
      </w:r>
      <w:r>
        <w:t xml:space="preserve">onset, TTC and delta velocity. A reference that predicts the target’s lateral</w:t>
      </w:r>
      <w:r>
        <w:t xml:space="preserve"> </w:t>
      </w:r>
      <w:r>
        <w:t xml:space="preserve">trajectory and asks</w:t>
      </w:r>
      <w:r>
        <w:t xml:space="preserve"> </w:t>
      </w:r>
      <w:r>
        <w:t xml:space="preserve">“will it be in my lane when the gap closes”</w:t>
      </w:r>
      <w:r>
        <w:t xml:space="preserve"> </w:t>
      </w:r>
      <w:r>
        <w:t xml:space="preserve">is the thing that</w:t>
      </w:r>
      <w:r>
        <w:t xml:space="preserve"> </w:t>
      </w:r>
      <w:r>
        <w:t xml:space="preserve">failed in section 3.1.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Within matched TTC it must order by gap, not by absolute speed.</w:t>
      </w:r>
      <w:r>
        <w:t xml:space="preserve"> </w:t>
      </w:r>
      <w:r>
        <w:t xml:space="preserve">A reference built</w:t>
      </w:r>
      <w:r>
        <w:t xml:space="preserve"> </w:t>
      </w:r>
      <w:r>
        <w:t xml:space="preserve">on a worst-case stopping counterfactual inherits the speed dependence of section</w:t>
      </w:r>
      <w:r>
        <w:t xml:space="preserve"> </w:t>
      </w:r>
      <w:r>
        <w:t xml:space="preserve">3.2. The comfort response looks, on this data, like a distance judgment at a given</w:t>
      </w:r>
      <w:r>
        <w:t xml:space="preserve"> </w:t>
      </w:r>
      <w:r>
        <w:t xml:space="preserve">closing rate.</w:t>
      </w:r>
    </w:p>
    <w:p>
      <w:pPr>
        <w:pStyle w:val="FirstParagraph"/>
      </w:pPr>
      <w:r>
        <w:t xml:space="preserve">Stated as an opinion: what failed is a</w:t>
      </w:r>
      <w:r>
        <w:t xml:space="preserve"> </w:t>
      </w:r>
      <w:r>
        <w:rPr>
          <w:i/>
          <w:iCs/>
        </w:rPr>
        <w:t xml:space="preserve">worst-case counterfactual</w:t>
      </w:r>
      <w:r>
        <w:t xml:space="preserve"> </w:t>
      </w:r>
      <w:r>
        <w:t xml:space="preserve">reference, which may</w:t>
      </w:r>
      <w:r>
        <w:t xml:space="preserve"> </w:t>
      </w:r>
      <w:r>
        <w:t xml:space="preserve">well be the right reference for a collision-avoidance model, since a collision does</w:t>
      </w:r>
      <w:r>
        <w:t xml:space="preserve"> </w:t>
      </w:r>
      <w:r>
        <w:t xml:space="preserve">depend on where the target will be and how fast everyone is going, and the wrong one</w:t>
      </w:r>
      <w:r>
        <w:t xml:space="preserve"> </w:t>
      </w:r>
      <w:r>
        <w:t xml:space="preserve">for a comfort measure, which the data suggest is triggered earlier and by simpler</w:t>
      </w:r>
      <w:r>
        <w:t xml:space="preserve"> </w:t>
      </w:r>
      <w:r>
        <w:t xml:space="preserve">scene quantities. That is consistent with the project’s standing reading that comfort</w:t>
      </w:r>
      <w:r>
        <w:t xml:space="preserve"> </w:t>
      </w:r>
      <w:r>
        <w:t xml:space="preserve">and dread are different level sets, and it suggests the two need different references,</w:t>
      </w:r>
      <w:r>
        <w:t xml:space="preserve"> </w:t>
      </w:r>
      <w:r>
        <w:t xml:space="preserve">not one field read at two levels.</w:t>
      </w:r>
    </w:p>
    <w:bookmarkEnd w:id="17"/>
    <w:bookmarkStart w:id="18" w:name="what-was-done-and-what-is-recommended"/>
    <w:p>
      <w:pPr>
        <w:pStyle w:val="Heading2"/>
      </w:pPr>
      <w:r>
        <w:t xml:space="preserve">6 What was done, and what is recommended</w:t>
      </w:r>
    </w:p>
    <w:p>
      <w:pPr>
        <w:pStyle w:val="Compact"/>
        <w:numPr>
          <w:ilvl w:val="0"/>
          <w:numId w:val="1004"/>
        </w:numPr>
      </w:pPr>
      <w:r>
        <w:t xml:space="preserve">The decomposition is committed as</w:t>
      </w:r>
      <w:r>
        <w:t xml:space="preserve"> </w:t>
      </w:r>
      <w:r>
        <w:rPr>
          <w:rStyle w:val="VerbatimChar"/>
        </w:rPr>
        <w:t xml:space="preserve">replication/czb/cutin2_lane_gate_diagnostic.py</w:t>
      </w:r>
      <w:r>
        <w:t xml:space="preserve"> </w:t>
      </w:r>
      <w:r>
        <w:t xml:space="preserve">with its tracked report; a dated note in</w:t>
      </w:r>
      <w:r>
        <w:t xml:space="preserve"> </w:t>
      </w:r>
      <w:r>
        <w:rPr>
          <w:rStyle w:val="VerbatimChar"/>
        </w:rPr>
        <w:t xml:space="preserve">docs/r2_gate_decisions.md</w:t>
      </w:r>
      <w:r>
        <w:t xml:space="preserve"> </w:t>
      </w:r>
      <w:r>
        <w:t xml:space="preserve">§1 points to it.</w:t>
      </w:r>
    </w:p>
    <w:p>
      <w:pPr>
        <w:pStyle w:val="Compact"/>
        <w:numPr>
          <w:ilvl w:val="0"/>
          <w:numId w:val="1004"/>
        </w:numPr>
      </w:pPr>
      <w:r>
        <w:t xml:space="preserve">No change to the registered script, its report, or the verdict.</w:t>
      </w:r>
    </w:p>
    <w:p>
      <w:pPr>
        <w:pStyle w:val="Compact"/>
        <w:numPr>
          <w:ilvl w:val="0"/>
          <w:numId w:val="1004"/>
        </w:numPr>
      </w:pPr>
      <w:r>
        <w:t xml:space="preserve">Optional, cheap: the released binary gate on the same cells (section 3.3), if a</w:t>
      </w:r>
      <w:r>
        <w:t xml:space="preserve"> </w:t>
      </w:r>
      <w:r>
        <w:t xml:space="preserve">manuscript needs to attribute the gate’s share to the published model rather than to</w:t>
      </w:r>
      <w:r>
        <w:t xml:space="preserve"> </w:t>
      </w:r>
      <w:r>
        <w:t xml:space="preserve">our continuous form.</w:t>
      </w:r>
    </w:p>
    <w:p>
      <w:pPr>
        <w:pStyle w:val="Compact"/>
        <w:numPr>
          <w:ilvl w:val="0"/>
          <w:numId w:val="1004"/>
        </w:numPr>
      </w:pPr>
      <w:r>
        <w:t xml:space="preserve">The R2.Q5 note should start from the two constraints in section 5.</w:t>
      </w:r>
    </w:p>
    <w:bookmarkEnd w:id="18"/>
    <w:bookmarkStart w:id="19" w:name="where-i-may-be-wrong"/>
    <w:p>
      <w:pPr>
        <w:pStyle w:val="Heading2"/>
      </w:pPr>
      <w:r>
        <w:t xml:space="preserve">7 Where I may be wrong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t xml:space="preserve">“44% / 56%”</w:t>
      </w:r>
      <w:r>
        <w:t xml:space="preserve"> </w:t>
      </w:r>
      <w:r>
        <w:t xml:space="preserve">split is one decomposition of a non-additive quantity (the gate</w:t>
      </w:r>
      <w:r>
        <w:t xml:space="preserve"> </w:t>
      </w:r>
      <w:r>
        <w:t xml:space="preserve">multiplies the magnitude), read off the held-out score; another order of removal</w:t>
      </w:r>
      <w:r>
        <w:t xml:space="preserve"> </w:t>
      </w:r>
      <w:r>
        <w:t xml:space="preserve">would give different shares. The qualitative reading, that both mechanisms matter and</w:t>
      </w:r>
      <w:r>
        <w:t xml:space="preserve"> </w:t>
      </w:r>
      <w:r>
        <w:t xml:space="preserve">that the gate acts on the most-responded cells, does not depend on it.</w:t>
      </w:r>
    </w:p>
    <w:p>
      <w:pPr>
        <w:pStyle w:val="Compact"/>
        <w:numPr>
          <w:ilvl w:val="0"/>
          <w:numId w:val="1005"/>
        </w:numPr>
      </w:pPr>
      <w:r>
        <w:t xml:space="preserve">The sensitivities are finite differences at four cells; the counterfactual is</w:t>
      </w:r>
      <w:r>
        <w:t xml:space="preserve"> </w:t>
      </w:r>
      <w:r>
        <w:t xml:space="preserve">piecewise and the numbers would differ at cells where it is not violated (the 7 s</w:t>
      </w:r>
      <w:r>
        <w:t xml:space="preserve"> </w:t>
      </w:r>
      <w:r>
        <w:t xml:space="preserve">starting-TTC clips, where the gate-free magnitude is near zero).</w:t>
      </w:r>
    </w:p>
    <w:p>
      <w:pPr>
        <w:pStyle w:val="Compact"/>
        <w:numPr>
          <w:ilvl w:val="0"/>
          <w:numId w:val="1005"/>
        </w:numPr>
      </w:pPr>
      <w:r>
        <w:t xml:space="preserve">I read the participants’ flatness across lane-change duration as</w:t>
      </w:r>
      <w:r>
        <w:t xml:space="preserve"> </w:t>
      </w:r>
      <w:r>
        <w:t xml:space="preserve">“they do not use</w:t>
      </w:r>
      <w:r>
        <w:t xml:space="preserve"> </w:t>
      </w:r>
      <w:r>
        <w:t xml:space="preserve">it”</w:t>
      </w:r>
      <w:r>
        <w:t xml:space="preserve">; the study’s context file notes duration is a between-subjects factor, so that</w:t>
      </w:r>
      <w:r>
        <w:t xml:space="preserve"> </w:t>
      </w:r>
      <w:r>
        <w:t xml:space="preserve">flatness is a between-groups comparison and carries the usual caveat.</w:t>
      </w:r>
    </w:p>
    <w:p>
      <w:pPr>
        <w:pStyle w:val="Compact"/>
        <w:numPr>
          <w:ilvl w:val="0"/>
          <w:numId w:val="1005"/>
        </w:numPr>
      </w:pPr>
      <w:r>
        <w:t xml:space="preserve">The trace-versus-annotation argument assumes participants saw video rendered from</w:t>
      </w:r>
      <w:r>
        <w:t xml:space="preserve"> </w:t>
      </w:r>
      <w:r>
        <w:t xml:space="preserve">the deposited traces; I have not verified the rendering pipeline.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2026-09-02T09:11:01Z</dcterms:created>
  <dcterms:modified xsi:type="dcterms:W3CDTF">2026-09-02T09:11:01Z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