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14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d706fae9055f83689585bc1fd36d80ae461c4dd"/>
    <w:p>
      <w:pPr>
        <w:pStyle w:val="Heading3"/>
      </w:pPr>
      <w:r>
        <w:t xml:space="preserve">Card R.2 — review gate: the lateral term and the distance–time anomaly (for the stronger model)</w:t>
      </w:r>
    </w:p>
    <w:p>
      <w:pPr>
        <w:pStyle w:val="FirstParagraph"/>
      </w:pPr>
      <w:r>
        <w:rPr>
          <w:i/>
          <w:iCs/>
        </w:rPr>
        <w:t xml:space="preserve">(Added 2026-08-28 at Jonas’s request. 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design</w:t>
      </w:r>
      <w:r>
        <w:rPr>
          <w:i/>
          <w:iCs/>
        </w:rPr>
        <w:t xml:space="preserve"> </w:t>
      </w:r>
      <w:r>
        <w:rPr>
          <w:i/>
          <w:iCs/>
        </w:rPr>
        <w:t xml:space="preserve">gate, not execution: two</w:t>
      </w:r>
      <w:r>
        <w:rPr>
          <w:i/>
          <w:iCs/>
        </w:rPr>
        <w:t xml:space="preserve"> </w:t>
      </w:r>
      <w:r>
        <w:rPr>
          <w:i/>
          <w:iCs/>
        </w:rPr>
        <w:t xml:space="preserve">findings have outrun what the executing session should decide alone, and the literature</w:t>
      </w:r>
      <w:r>
        <w:rPr>
          <w:i/>
          <w:iCs/>
        </w:rPr>
        <w:t xml:space="preserve"> </w:t>
      </w:r>
      <w:r>
        <w:rPr>
          <w:i/>
          <w:iCs/>
        </w:rPr>
        <w:t xml:space="preserve">that bears on them has been read and summarized. Run at tier 1.)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(the argument and the five</w:t>
      </w:r>
      <w:r>
        <w:t xml:space="preserve"> </w:t>
      </w:r>
      <w:r>
        <w:t xml:space="preserve">papers), then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§4 and §6 (where the two findings</w:t>
      </w:r>
      <w:r>
        <w:t xml:space="preserve"> </w:t>
      </w:r>
      <w:r>
        <w:t xml:space="preserve">came from), then</w:t>
      </w:r>
      <w:r>
        <w:t xml:space="preserve"> </w:t>
      </w:r>
      <w:r>
        <w:rPr>
          <w:rStyle w:val="VerbatimChar"/>
        </w:rPr>
        <w:t xml:space="preserve">replication/czb/out/overtake_field_check.md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.</w:t>
      </w:r>
      <w:r>
        <w:t xml:space="preserve"> </w:t>
      </w:r>
      <w:r>
        <w:rPr>
          <w:i/>
          <w:iCs/>
        </w:rPr>
        <w:t xml:space="preserve">[Rewritten 2026-08-28 after the B.1 arc and the arrival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02_Cut-in</w:t>
      </w:r>
      <w:r>
        <w:rPr>
          <w:i/>
          <w:iCs/>
        </w:rPr>
        <w:t xml:space="preserve">. The gate now</w:t>
      </w:r>
      <w:r>
        <w:rPr>
          <w:i/>
          <w:iCs/>
        </w:rPr>
        <w:t xml:space="preserve"> </w:t>
      </w:r>
      <w:r>
        <w:rPr>
          <w:i/>
          <w:iCs/>
        </w:rPr>
        <w:t xml:space="preserve">has a decisive dataset and a much sharper question than when it was drafted.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Read</w:t>
      </w:r>
      <w:r>
        <w:rPr>
          <w:b/>
          <w:bCs/>
          <w:i/>
          <w:iCs/>
        </w:rPr>
        <w:t xml:space="preserve"> </w:t>
      </w:r>
      <w:r>
        <w:rPr>
          <w:rStyle w:val="VerbatimChar"/>
          <w:b/>
          <w:bCs/>
          <w:i/>
          <w:iCs/>
        </w:rPr>
        <w:t xml:space="preserve">handover_2026-08-28.md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§1–2 first.</w:t>
      </w:r>
      <w:r>
        <w:rPr>
          <w:i/>
          <w:iCs/>
        </w:rPr>
        <w:t xml:space="preserve">]</w:t>
      </w:r>
    </w:p>
    <w:bookmarkEnd w:id="13"/>
    <w:bookmarkEnd w:id="14"/>
    <w:bookmarkStart w:id="27" w:name="X28cf394cb435e6e57cdc3e40680e3b74e8d8ccb"/>
    <w:p>
      <w:pPr>
        <w:pStyle w:val="Heading2"/>
      </w:pPr>
      <w:r>
        <w:t xml:space="preserve">What this gate must decide, in priority order</w:t>
      </w:r>
    </w:p>
    <w:p>
      <w:pPr>
        <w:pStyle w:val="FirstParagraph"/>
      </w:pPr>
      <w:r>
        <w:rPr>
          <w:b/>
          <w:bCs/>
        </w:rPr>
        <w:t xml:space="preserve">1. Is the preference field the right scalar at all?</w:t>
      </w:r>
      <w:r>
        <w:t xml:space="preserve"> </w:t>
      </w:r>
      <w:r>
        <w:t xml:space="preserve">This is now the live question,</w:t>
      </w:r>
      <w:r>
        <w:t xml:space="preserve"> </w:t>
      </w:r>
      <w:r>
        <w:t xml:space="preserve">and it was not before. In the study-1 cut-in design relative speed is constant, so</w:t>
      </w:r>
      <w:r>
        <w:t xml:space="preserve"> </w:t>
      </w:r>
      <w:r>
        <w:t xml:space="preserve">correlation(gap, TTC) = 1.0000 and every longitudinal fit is equally consistent with a</w:t>
      </w:r>
      <w:r>
        <w:t xml:space="preserve"> </w:t>
      </w:r>
      <w:r>
        <w:t xml:space="preserve">gap threshold. The second cut-in study breaks that: over 10 944 trials, gap orders the</w:t>
      </w:r>
      <w:r>
        <w:t xml:space="preserve"> </w:t>
      </w:r>
      <w:r>
        <w:t xml:space="preserve">response at ρ −0.887, TTC at −0.807, and required deceleration — the quantity our safety</w:t>
      </w:r>
      <w:r>
        <w:t xml:space="preserve"> </w:t>
      </w:r>
      <w:r>
        <w:t xml:space="preserve">terms are built from — at +0.238.</w:t>
      </w:r>
      <w:r>
        <w:t xml:space="preserve"> </w:t>
      </w:r>
      <w:r>
        <w:rPr>
          <w:b/>
          <w:bCs/>
        </w:rPr>
        <w:t xml:space="preserve">The first task is to fit the existing field to the</w:t>
      </w:r>
      <w:r>
        <w:rPr>
          <w:b/>
          <w:bCs/>
        </w:rPr>
        <w:t xml:space="preserve"> </w:t>
      </w:r>
      <w:r>
        <w:rPr>
          <w:b/>
          <w:bCs/>
        </w:rPr>
        <w:t xml:space="preserve">second cut-in study and compare it against a one-parameter gap threshold on 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held-out folds.</w:t>
      </w:r>
      <w:r>
        <w:t xml:space="preserve"> </w:t>
      </w:r>
      <w:r>
        <w:t xml:space="preserve">If the field does not beat a gap threshold there, the honest conclusion</w:t>
      </w:r>
      <w:r>
        <w:t xml:space="preserve"> </w:t>
      </w:r>
      <w:r>
        <w:t xml:space="preserve">is that the field’s kinematic content is not carrying the explanation, and the project’s</w:t>
      </w:r>
      <w:r>
        <w:t xml:space="preserve"> </w:t>
      </w:r>
      <w:r>
        <w:t xml:space="preserve">claim has to be restated around what does survive (the transfer trait, §4 below) rather</w:t>
      </w:r>
      <w:r>
        <w:t xml:space="preserve"> </w:t>
      </w:r>
      <w:r>
        <w:t xml:space="preserve">than around active inference as a mechanism. Pre-register the comparison before running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Diagnose the C1 inversion</w:t>
      </w:r>
      <w:r>
        <w:t xml:space="preserve"> </w:t>
      </w:r>
      <w:r>
        <w:t xml:space="preserve">(blocker B2.Q1). At C1 the cut-in conditions differ</w:t>
      </w:r>
      <w:r>
        <w:t xml:space="preserve"> </w:t>
      </w:r>
      <w:r>
        <w:t xml:space="preserve">two-fold in gap and behaviour is ordered accordingly, but the field ranks them backwards</w:t>
      </w:r>
      <w:r>
        <w:t xml:space="preserve"> </w:t>
      </w:r>
      <w:r>
        <w:t xml:space="preserve">(deficit 1 / 1509 / 2907 for gaps 10.5 / 16.0 / 21.5 m). The lane gate is the obvious</w:t>
      </w:r>
      <w:r>
        <w:t xml:space="preserve"> </w:t>
      </w:r>
      <w:r>
        <w:t xml:space="preserve">suspect. Until this is fixed the fitted lapse is absorbing real boundary signal and</w:t>
      </w:r>
      <w:r>
        <w:t xml:space="preserve"> </w:t>
      </w:r>
      <w:r>
        <w:t xml:space="preserve">should not be called a response floor. Cheap, and it gates the interpretation of every</w:t>
      </w:r>
      <w:r>
        <w:t xml:space="preserve"> </w:t>
      </w:r>
      <w:r>
        <w:t xml:space="preserve">existing fit.</w:t>
      </w:r>
    </w:p>
    <w:p>
      <w:pPr>
        <w:pStyle w:val="BodyText"/>
      </w:pPr>
      <w:r>
        <w:rPr>
          <w:b/>
          <w:bCs/>
        </w:rPr>
        <w:t xml:space="preserve">3. Decide the lateral term</w:t>
      </w:r>
      <w:r>
        <w:t xml:space="preserve"> </w:t>
      </w:r>
      <w:r>
        <w:t xml:space="preserve">— the original purpose of this gate. The cyclist overtake</w:t>
      </w:r>
      <w:r>
        <w:t xml:space="preserve"> </w:t>
      </w:r>
      <w:r>
        <w:t xml:space="preserve">needs a lateral</w:t>
      </w:r>
      <w:r>
        <w:t xml:space="preserve"> </w:t>
      </w:r>
      <w:r>
        <w:rPr>
          <w:i/>
          <w:iCs/>
        </w:rPr>
        <w:t xml:space="preserve">comfort</w:t>
      </w:r>
      <w:r>
        <w:t xml:space="preserve"> </w:t>
      </w:r>
      <w:r>
        <w:t xml:space="preserve">term;</w:t>
      </w:r>
      <w:r>
        <w:t xml:space="preserve"> </w:t>
      </w:r>
      <w:r>
        <w:rPr>
          <w:rStyle w:val="VerbatimChar"/>
        </w:rPr>
        <w:t xml:space="preserve">p_lane</w:t>
      </w:r>
      <w:r>
        <w:t xml:space="preserve"> </w:t>
      </w:r>
      <w:r>
        <w:t xml:space="preserve">saturates at 0.843–1.000 and the symmetric</w:t>
      </w:r>
      <w:r>
        <w:t xml:space="preserve"> </w:t>
      </w:r>
      <w:r>
        <w:t xml:space="preserve">projection over-corrects. Kolekar et al.’s Driver’s Risk Field is the strongest donor:</w:t>
      </w:r>
      <w:r>
        <w:t xml:space="preserve"> </w:t>
      </w:r>
      <w:r>
        <w:t xml:space="preserve">same claim as ours (</w:t>
      </w:r>
      <w:r>
        <w:t xml:space="preserve">“keep a scalar below a threshold”</w:t>
      </w:r>
      <w:r>
        <w:t xml:space="preserve">), lateral dimension built in,</w:t>
      </w:r>
      <w:r>
        <w:t xml:space="preserve"> </w:t>
      </w:r>
      <w:r>
        <w:t xml:space="preserve">validated on overtaking. Decide whether to re-derive the spread from our own predictive</w:t>
      </w:r>
      <w:r>
        <w:t xml:space="preserve"> </w:t>
      </w:r>
      <w:r>
        <w:t xml:space="preserve">model or adopt the DRF’s form (Gaussian cross-section, parabolic height to a</w:t>
      </w:r>
      <w:r>
        <w:t xml:space="preserve"> </w:t>
      </w:r>
      <w:r>
        <w:t xml:space="preserve">speed-scaled look-ahead, width linear in arc length and steering).</w:t>
      </w:r>
    </w:p>
    <w:p>
      <w:pPr>
        <w:pStyle w:val="BodyText"/>
      </w:pPr>
      <w:r>
        <w:rPr>
          <w:b/>
          <w:bCs/>
        </w:rPr>
        <w:t xml:space="preserve">4. Rule on what survives regardless.</w:t>
      </w:r>
      <w:r>
        <w:t xml:space="preserve"> </w:t>
      </w:r>
      <w:r>
        <w:t xml:space="preserve">The cross-scenario result needs no field:</w:t>
      </w:r>
      <w:r>
        <w:t xml:space="preserve"> </w:t>
      </w:r>
      <w:r>
        <w:t xml:space="preserve">~69% of the reliable per-driver signal is shared across all four scenarios. That</w:t>
      </w:r>
      <w:r>
        <w:t xml:space="preserve"> </w:t>
      </w:r>
      <w:r>
        <w:t xml:space="preserve">supports the one-scalar</w:t>
      </w:r>
      <w:r>
        <w:t xml:space="preserve"> </w:t>
      </w:r>
      <w:r>
        <w:rPr>
          <w:i/>
          <w:iCs/>
        </w:rPr>
        <w:t xml:space="preserve">trait</w:t>
      </w:r>
      <w:r>
        <w:t xml:space="preserve"> </w:t>
      </w:r>
      <w:r>
        <w:t xml:space="preserve">claim independently of whether our particular scalar is</w:t>
      </w:r>
      <w:r>
        <w:t xml:space="preserve"> </w:t>
      </w:r>
      <w:r>
        <w:t xml:space="preserve">right, and it caps any transfer test. The gate should say explicitly whether the</w:t>
      </w:r>
      <w:r>
        <w:t xml:space="preserve"> </w:t>
      </w:r>
      <w:r>
        <w:t xml:space="preserve">project’s headline becomes this, if task 1 goes against the field.</w:t>
      </w:r>
    </w:p>
    <w:p>
      <w:pPr>
        <w:pStyle w:val="BodyText"/>
      </w:pPr>
      <w:r>
        <w:rPr>
          <w:b/>
          <w:bCs/>
        </w:rPr>
        <w:t xml:space="preserve">5. Narrow or confirm the A.3 wording.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on looming or TTC, not a comfort deficit, and list</w:t>
      </w:r>
      <w:r>
        <w:t xml:space="preserve"> </w:t>
      </w:r>
      <w:r>
        <w:t xml:space="preserve">leaky accumulation and collapsing bounds as standard. Our FAIL was pre-registered and</w:t>
      </w:r>
      <w:r>
        <w:t xml:space="preserve"> </w:t>
      </w:r>
      <w:r>
        <w:t xml:space="preserve">stands for the accumulator we specified; decide whether the assessment’s broader claim</w:t>
      </w:r>
      <w:r>
        <w:t xml:space="preserve"> </w:t>
      </w:r>
      <w:r>
        <w:t xml:space="preserve">needs narrowing.</w:t>
      </w:r>
    </w:p>
    <w:p>
      <w:pPr>
        <w:pStyle w:val="BodyText"/>
      </w:pPr>
      <w:r>
        <w:rPr>
          <w:b/>
          <w:bCs/>
        </w:rPr>
        <w:t xml:space="preserve">A caution for whoever runs this.</w:t>
      </w:r>
      <w:r>
        <w:t xml:space="preserve"> </w:t>
      </w:r>
      <w:r>
        <w:t xml:space="preserve">The sign derivation below was attempted on</w:t>
      </w:r>
      <w:r>
        <w:t xml:space="preserve"> </w:t>
      </w:r>
      <w:r>
        <w:t xml:space="preserve">2026-08-28 and produced a problem: the expectation route gives the right direction for</w:t>
      </w:r>
      <w:r>
        <w:t xml:space="preserve"> </w:t>
      </w:r>
      <w:r>
        <w:t xml:space="preserve">the lateral term but the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one for the distance effect (a more distant conflict</w:t>
      </w:r>
      <w:r>
        <w:t xml:space="preserve"> </w:t>
      </w:r>
      <w:r>
        <w:t xml:space="preserve">would get a higher expected deficit, i.e. more discomfort at larger gaps, opposite to</w:t>
      </w:r>
      <w:r>
        <w:t xml:space="preserve"> </w:t>
      </w:r>
      <w:r>
        <w:t xml:space="preserve">what is observed). So the two findings do not have one fix, and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carries a dated correction saying so. Do not</w:t>
      </w:r>
      <w:r>
        <w:t xml:space="preserve"> </w:t>
      </w:r>
      <w:r>
        <w:t xml:space="preserve">re-adopt the unified story without redoing that derivation.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problem, in one line</w:t>
      </w:r>
      <w:r>
        <w:t xml:space="preserve">: the field evaluates the deficit along a single predicted</w:t>
      </w:r>
      <w:r>
        <w:t xml:space="preserve"> </w:t>
      </w:r>
      <w:r>
        <w:t xml:space="preserve">trajectory, and therefore cannot express either (a) that a collision-free pass at</w:t>
      </w:r>
      <w:r>
        <w:t xml:space="preserve"> </w:t>
      </w:r>
      <w:r>
        <w:t xml:space="preserve">0.5 m is uncomfortable, or (b) that a distant conflict at matched time is judged</w:t>
      </w:r>
      <w:r>
        <w:t xml:space="preserve"> </w:t>
      </w:r>
      <w:r>
        <w:t xml:space="preserve">differently from a near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proposal to assess</w:t>
      </w:r>
      <w:r>
        <w:t xml:space="preserve">: take the deficit in expectation over a predictive</w:t>
      </w:r>
      <w:r>
        <w:t xml:space="preserve"> </w:t>
      </w:r>
      <w:r>
        <w:t xml:space="preserve">distribution,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, rather than at the point estimate.</w:t>
      </w:r>
      <w:r>
        <w:t xml:space="preserve"> </w:t>
      </w:r>
      <w:r>
        <w:t xml:space="preserve">Argued in the note as native to active inference — expected free energy is already an</w:t>
      </w:r>
      <w:r>
        <w:t xml:space="preserve"> </w:t>
      </w:r>
      <w:r>
        <w:t xml:space="preserve">expectation under a predictive distribution, which the released model collapses to its</w:t>
      </w:r>
      <w:r>
        <w:t xml:space="preserve"> </w:t>
      </w:r>
      <w:r>
        <w:t xml:space="preserve">mean because its scenarios are longitudinal. This is the same move as the lane-entry</w:t>
      </w:r>
      <w:r>
        <w:t xml:space="preserve"> </w:t>
      </w:r>
      <w:r>
        <w:t xml:space="preserve">work, which is the closed form of an expectation the closed loop computes by rollout.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decisions that need making</w:t>
      </w:r>
      <w:r>
        <w:t xml:space="preserve">, none of which the executing session should take: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Is the sign right?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E[d] rise or fall as Σ widens? Do this analytically or numerically</w:t>
      </w:r>
      <w:r>
        <w:t xml:space="preserve"> </w:t>
      </w:r>
      <w:r>
        <w:rPr>
          <w:b/>
          <w:bCs/>
        </w:rPr>
        <w:t xml:space="preserve">before any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. If the sign is wrong the mechanism is not the explanation, and the</w:t>
      </w:r>
      <w:r>
        <w:t xml:space="preserve"> </w:t>
      </w:r>
      <w:r>
        <w:t xml:space="preserve">honest outcome is a lateral term motivated on its own terms instead.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Whose functional form?</w:t>
      </w:r>
      <w:r>
        <w:t xml:space="preserve"> </w:t>
      </w:r>
      <w:r>
        <w:t xml:space="preserve">Re-derive Σ from our own predictive model, or adopt</w:t>
      </w:r>
      <w:r>
        <w:t xml:space="preserve"> </w:t>
      </w:r>
      <w:r>
        <w:t xml:space="preserve">Kolekar et al.’s DRF shape (Gaussian cross-section, parabolic height to a</w:t>
      </w:r>
      <w:r>
        <w:t xml:space="preserve"> </w:t>
      </w:r>
      <w:r>
        <w:t xml:space="preserve">speed-scaled look-ahead, width linear in arc length and steering angle) with its</w:t>
      </w:r>
      <w:r>
        <w:t xml:space="preserve"> </w:t>
      </w:r>
      <w:r>
        <w:t xml:space="preserve">six constants? The DRF is independently validated on overtaking and car-following</w:t>
      </w:r>
      <w:r>
        <w:t xml:space="preserve"> </w:t>
      </w:r>
      <w:r>
        <w:t xml:space="preserve">and is structurally the same claim as ours —</w:t>
      </w:r>
      <w:r>
        <w:t xml:space="preserve"> </w:t>
      </w:r>
      <w:r>
        <w:t xml:space="preserve">“keep a scalar below a threshold”</w:t>
      </w:r>
      <w:r>
        <w:t xml:space="preserve"> </w:t>
      </w:r>
      <w:r>
        <w:t xml:space="preserve">—</w:t>
      </w:r>
      <w:r>
        <w:t xml:space="preserve"> </w:t>
      </w:r>
      <w:r>
        <w:t xml:space="preserve">so inheriting it is defensible, but it is a different model’s parameterization.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How much fitting is acceptable?</w:t>
      </w:r>
      <w:r>
        <w:t xml:space="preserve"> </w:t>
      </w:r>
      <w:r>
        <w:t xml:space="preserve">Σ’s scaling adds at least one parameter</w:t>
      </w:r>
      <w:r>
        <w:t xml:space="preserve"> </w:t>
      </w:r>
      <w:r>
        <w:t xml:space="preserve">upstream of the boundary. The project’s standing position is that the field</w:t>
      </w:r>
      <w:r>
        <w:t xml:space="preserve"> </w:t>
      </w:r>
      <w:r>
        <w:t xml:space="preserve">carries no constants fitted to the responses; k = 12 (card B.1) already bends</w:t>
      </w:r>
      <w:r>
        <w:t xml:space="preserve"> </w:t>
      </w:r>
      <w:r>
        <w:t xml:space="preserve">that, and this would bend it further. Whatever is decided, it must be calibrated</w:t>
      </w:r>
      <w:r>
        <w:t xml:space="preserve"> </w:t>
      </w:r>
      <w:r>
        <w:t xml:space="preserve">on one scenario and frozen before any transfer scenario is scored.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Does the A.3 verdict need revisiting?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the drift with looming or TTC, not with a</w:t>
      </w:r>
      <w:r>
        <w:t xml:space="preserve"> </w:t>
      </w:r>
      <w:r>
        <w:t xml:space="preserve">comfort deficit, and list leaky accumulation and collapsing bounds as the standard</w:t>
      </w:r>
      <w:r>
        <w:t xml:space="preserve"> </w:t>
      </w:r>
      <w:r>
        <w:t xml:space="preserve">architectures. Our FAIL was pre-registered and stands as a statement about the</w:t>
      </w:r>
      <w:r>
        <w:t xml:space="preserve"> </w:t>
      </w:r>
      <w:r>
        <w:t xml:space="preserve">accumulator we specified; the gate should decide whether it also licenses the</w:t>
      </w:r>
      <w:r>
        <w:t xml:space="preserve"> </w:t>
      </w:r>
      <w:r>
        <w:t xml:space="preserve">broader claim currently in the assessment, or whether that claim needs narrowing.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Pre-registered tests, in order</w:t>
      </w:r>
      <w:r>
        <w:t xml:space="preserve"> </w:t>
      </w:r>
      <w:r>
        <w:t xml:space="preserve">(the note’s §6): derive the sign; then LTAP, whose</w:t>
      </w:r>
      <w:r>
        <w:t xml:space="preserve"> </w:t>
      </w:r>
      <w:r>
        <w:t xml:space="preserve">two-speed design separates time from distance by construction and where the predicted</w:t>
      </w:r>
      <w:r>
        <w:t xml:space="preserve"> </w:t>
      </w:r>
      <w:r>
        <w:t xml:space="preserve">effect is a speed difference of the observed sign at matched PET; then the cyclist</w:t>
      </w:r>
      <w:r>
        <w:t xml:space="preserve"> </w:t>
      </w:r>
      <w:r>
        <w:t xml:space="preserve">overtake, where the prediction is that cell ordering improves materially on the</w:t>
      </w:r>
      <w:r>
        <w:t xml:space="preserve"> </w:t>
      </w:r>
      <w:r>
        <w:t xml:space="preserve">current Spearman +0.402 without the model being given the clearance.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Also settle</w:t>
      </w:r>
      <w:r>
        <w:t xml:space="preserve">: R.1.Q1 (how percentiles are to be quoted — a convention, see the</w:t>
      </w:r>
      <w:r>
        <w:t xml:space="preserve"> </w:t>
      </w:r>
      <w:r>
        <w:t xml:space="preserve">note in card A.2.v2), R.1.Q2 (on the evidence in</w:t>
      </w:r>
      <w:r>
        <w:t xml:space="preserve"> </w:t>
      </w:r>
      <w:r>
        <w:rPr>
          <w:rStyle w:val="VerbatimChar"/>
        </w:rPr>
        <w:t xml:space="preserve">out/lapse_threshold_artifact.md</w:t>
      </w:r>
      <w:r>
        <w:t xml:space="preserve">), and R.1.Q3 (Jonas’s position is that the</w:t>
      </w:r>
      <w:r>
        <w:t xml:space="preserve"> </w:t>
      </w:r>
      <w:r>
        <w:t xml:space="preserve">anticipation bias should be lived with and corrected using NDS data rather than</w:t>
      </w:r>
      <w:r>
        <w:t xml:space="preserve"> </w:t>
      </w:r>
      <w:r>
        <w:t xml:space="preserve">designed away; the gate should turn that into a specific estimator).</w:t>
      </w:r>
    </w:p>
    <w:bookmarkStart w:id="15" w:name="Xaf44b901c00165646984e5e08d5f0ad1589de7a"/>
    <w:p>
      <w:pPr>
        <w:pStyle w:val="Heading3"/>
      </w:pPr>
      <w:r>
        <w:t xml:space="preserve">Card B.2.v2 — the second cut-in study, and the pre-onset defect it exposed</w:t>
      </w:r>
    </w:p>
    <w:p>
      <w:pPr>
        <w:pStyle w:val="FirstParagraph"/>
      </w:pPr>
      <w:r>
        <w:rPr>
          <w:i/>
          <w:iCs/>
        </w:rPr>
        <w:t xml:space="preserve">(Added 2026-08-28. The first item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blocker on the interpretation of every fit run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so far</w:t>
      </w:r>
      <w:r>
        <w:rPr>
          <w:i/>
          <w:iCs/>
        </w:rPr>
        <w:t xml:space="preserve"> </w:t>
      </w:r>
      <w:r>
        <w:rPr>
          <w:i/>
          <w:iCs/>
        </w:rPr>
        <w:t xml:space="preserve">and should be taken before A.2.v2; the second promotes a dataset.)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C1 defect (query B2.Q1).</w:t>
      </w:r>
      <w:r>
        <w:t xml:space="preserve"> </w:t>
      </w:r>
      <w:r>
        <w:t xml:space="preserve">The project treats the C1 cells as carrying no</w:t>
      </w:r>
      <w:r>
        <w:t xml:space="preserve"> </w:t>
      </w:r>
      <w:r>
        <w:t xml:space="preserve">boundary information. That is false: at C1 the three cut-in conditions differ by a</w:t>
      </w:r>
      <w:r>
        <w:t xml:space="preserve"> </w:t>
      </w:r>
      <w:r>
        <w:t xml:space="preserve">factor of two in car-following state (gap 10.5 / 16.0 / 21.5 m, THW 0.34 / 0.52 /</w:t>
      </w:r>
      <w:r>
        <w:t xml:space="preserve"> </w:t>
      </w:r>
      <w:r>
        <w:t xml:space="preserve">0.70 s) and the behaviour is ordered accordingly (0.122 / 0.070 / 0.052), while the</w:t>
      </w:r>
      <w:r>
        <w:t xml:space="preserve"> </w:t>
      </w:r>
      <w:r>
        <w:t xml:space="preserve">field ranks them</w:t>
      </w:r>
      <w:r>
        <w:t xml:space="preserve"> </w:t>
      </w:r>
      <w:r>
        <w:rPr>
          <w:b/>
          <w:bCs/>
        </w:rPr>
        <w:t xml:space="preserve">backwards</w:t>
      </w:r>
      <w:r>
        <w:t xml:space="preserve"> </w:t>
      </w:r>
      <w:r>
        <w:t xml:space="preserve">(deficit 1 / 1509 / 2907). Evidence:</w:t>
      </w:r>
      <w:r>
        <w:t xml:space="preserve"> </w:t>
      </w:r>
      <w:r>
        <w:rPr>
          <w:rStyle w:val="VerbatimChar"/>
        </w:rPr>
        <w:t xml:space="preserve">replication/czb/out/response_style_and_anticipation.md</w:t>
      </w:r>
      <w:r>
        <w:t xml:space="preserve"> </w:t>
      </w:r>
      <w:r>
        <w:t xml:space="preserve">§Test C. Diagnose the</w:t>
      </w:r>
      <w:r>
        <w:t xml:space="preserve"> </w:t>
      </w:r>
      <w:r>
        <w:t xml:space="preserve">inversion — the lane gate is the obvious suspect, since the lead is fully in the</w:t>
      </w:r>
      <w:r>
        <w:t xml:space="preserve"> </w:t>
      </w:r>
      <w:r>
        <w:t xml:space="preserve">adjacent lane at C1 — then decide whether C1 joins the boundary fit with a corrected</w:t>
      </w:r>
      <w:r>
        <w:t xml:space="preserve"> </w:t>
      </w:r>
      <w:r>
        <w:t xml:space="preserve">covariate or is excluded and the lapse identified elsewhere.</w:t>
      </w:r>
      <w:r>
        <w:t xml:space="preserve"> </w:t>
      </w:r>
      <w:r>
        <w:rPr>
          <w:b/>
          <w:bCs/>
        </w:rPr>
        <w:t xml:space="preserve">Until this is settled</w:t>
      </w:r>
      <w:r>
        <w:rPr>
          <w:b/>
          <w:bCs/>
        </w:rPr>
        <w:t xml:space="preserve"> </w:t>
      </w:r>
      <w:r>
        <w:rPr>
          <w:b/>
          <w:bCs/>
        </w:rPr>
        <w:t xml:space="preserve">the fitted lapse must not be described as a response floor</w:t>
      </w:r>
      <w:r>
        <w:t xml:space="preserve">, because it is absorbing</w:t>
      </w:r>
      <w:r>
        <w:t xml:space="preserve"> </w:t>
      </w:r>
      <w:r>
        <w:t xml:space="preserve">real boundary signal, and that is a fifth explanation for the R.1.Q2 correlation that</w:t>
      </w:r>
      <w:r>
        <w:t xml:space="preserve"> </w:t>
      </w:r>
      <w:r>
        <w:t xml:space="preserve">no earlier analysis considered.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Promote the second cut-in study (query B2.Q2).</w:t>
      </w:r>
      <w:r>
        <w:t xml:space="preserve"> </w:t>
      </w:r>
      <w:r>
        <w:rPr>
          <w:rStyle w:val="VerbatimChar"/>
        </w:rPr>
        <w:t xml:space="preserve">02_Cut-in</w:t>
      </w:r>
      <w:r>
        <w:t xml:space="preserve">: 10 944 trials, 168</w:t>
      </w:r>
      <w:r>
        <w:t xml:space="preserve"> </w:t>
      </w:r>
      <w:r>
        <w:t xml:space="preserve">participants, same three response variables including the ordered braking question.</w:t>
      </w:r>
      <w:r>
        <w:t xml:space="preserve"> </w:t>
      </w:r>
      <w:r>
        <w:t xml:space="preserve">Its delta-velocity factor multiplies with TTC into distance by construction, so</w:t>
      </w:r>
      <w:r>
        <w:t xml:space="preserve"> </w:t>
      </w:r>
      <w:r>
        <w:t xml:space="preserve">matched-TTC cells span 1.6–78 m of gap. Measured in</w:t>
      </w:r>
      <w:r>
        <w:t xml:space="preserve"> </w:t>
      </w:r>
      <w:r>
        <w:rPr>
          <w:rStyle w:val="VerbatimChar"/>
        </w:rPr>
        <w:t xml:space="preserve">out/cutin2_scope.md</w:t>
      </w:r>
      <w:r>
        <w:t xml:space="preserve">: all 24</w:t>
      </w:r>
      <w:r>
        <w:t xml:space="preserve"> </w:t>
      </w:r>
      <w:r>
        <w:t xml:space="preserve">matched-TTC rows run negative, gap orders the cells at rho −0.887 against</w:t>
      </w:r>
      <w:r>
        <w:t xml:space="preserve"> </w:t>
      </w:r>
      <w:r>
        <w:t xml:space="preserve">time-to-collision’s −0.807, and required deceleration manages only +0.238. This is the</w:t>
      </w:r>
      <w:r>
        <w:t xml:space="preserve"> </w:t>
      </w:r>
      <w:r>
        <w:t xml:space="preserve">R.2 distance-versus-time question answered far more sharply than LTAP can answer it,</w:t>
      </w:r>
      <w:r>
        <w:t xml:space="preserve"> </w:t>
      </w:r>
      <w:r>
        <w:t xml:space="preserve">in the scenario whose field already exists. Use it as R.2’s primary venue; keep the</w:t>
      </w:r>
      <w:r>
        <w:t xml:space="preserve"> </w:t>
      </w:r>
      <w:r>
        <w:t xml:space="preserve">LTAP field for the transfer test but off the critical path.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Analysis constraint (query B2.Q3)</w:t>
      </w:r>
      <w:r>
        <w:t xml:space="preserve">: TTC 5/6/7 are between-subjects and the DV and</w:t>
      </w:r>
      <w:r>
        <w:t xml:space="preserve"> </w:t>
      </w:r>
      <w:r>
        <w:t xml:space="preserve">CP subsets are split-half, so participant means must be formed before aggregating.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more data-handling facts about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02_Cut-in</w:t>
      </w:r>
      <w:r>
        <w:rPr>
          <w:b/>
          <w:bCs/>
        </w:rPr>
        <w:t xml:space="preserve">, found 2026-08-28 and not in its own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documentation</w:t>
      </w:r>
      <w:r>
        <w:t xml:space="preserve">: the annotated trials file carries</w:t>
      </w:r>
      <w:r>
        <w:t xml:space="preserve"> </w:t>
      </w:r>
      <w:r>
        <w:rPr>
          <w:b/>
          <w:bCs/>
        </w:rPr>
        <w:t xml:space="preserve">144 participants</w:t>
      </w:r>
      <w:r>
        <w:t xml:space="preserve">, not the 168 the</w:t>
      </w:r>
      <w:r>
        <w:t xml:space="preserve"> </w:t>
      </w:r>
      <w:r>
        <w:t xml:space="preserve">context document states, so exclusions appear to have been applied already and the</w:t>
      </w:r>
      <w:r>
        <w:t xml:space="preserve"> </w:t>
      </w:r>
      <w:r>
        <w:t xml:space="preserve">effective n should be taken from the file rather than the prose. And there is exactly</w:t>
      </w:r>
      <w:r>
        <w:t xml:space="preserve"> </w:t>
      </w:r>
      <w:r>
        <w:rPr>
          <w:b/>
          <w:bCs/>
        </w:rPr>
        <w:t xml:space="preserve">one attention-check trial per participant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attention1</w:t>
      </w:r>
      <w:r>
        <w:t xml:space="preserve"> </w:t>
      </w:r>
      <w:r>
        <w:t xml:space="preserve">nonzero on 144 trials);</w:t>
      </w:r>
      <w:r>
        <w:t xml:space="preserve"> </w:t>
      </w:r>
      <w:r>
        <w:t xml:space="preserve">the answers split 124 / 16 / 4 across three values, so roughly 20 participants gave a</w:t>
      </w:r>
      <w:r>
        <w:t xml:space="preserve"> </w:t>
      </w:r>
      <w:r>
        <w:t xml:space="preserve">non-modal answer. Whoever fits this must decide explicitly whether to exclude them —</w:t>
      </w:r>
      <w:r>
        <w:t xml:space="preserve"> </w:t>
      </w:r>
      <w:r>
        <w:t xml:space="preserve">this session did not, because the correct answer is not documented.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Exposure effect</w:t>
      </w:r>
      <w:r>
        <w:t xml:space="preserve">: the same study shows P(intervene) rising from 0.547 to 0.575</w:t>
      </w:r>
      <w:r>
        <w:t xml:space="preserve"> </w:t>
      </w:r>
      <w:r>
        <w:t xml:space="preserve">between the first and second showing of an identical clip (3 456 pairs, SE 0.007) —</w:t>
      </w:r>
      <w:r>
        <w:t xml:space="preserve"> </w:t>
      </w:r>
      <w:r>
        <w:t xml:space="preserve">the direct test of R.1.Q3’s mechanism that study 1 cannot support, and it comes out in</w:t>
      </w:r>
      <w:r>
        <w:t xml:space="preserve"> </w:t>
      </w:r>
      <w:r>
        <w:t xml:space="preserve">the direction R.1.Q3 predicts.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proposed</w:t>
      </w:r>
      <w:r>
        <w:t xml:space="preserve">:</w:t>
      </w:r>
      <w:r>
        <w:t xml:space="preserve"> </w:t>
      </w:r>
      <w:r>
        <w:rPr>
          <w:rStyle w:val="VerbatimChar"/>
        </w:rPr>
        <w:t xml:space="preserve">03_CAMP</w:t>
      </w:r>
      <w:r>
        <w:t xml:space="preserve">, per Jonas.</w:t>
      </w:r>
    </w:p>
    <w:bookmarkEnd w:id="15"/>
    <w:bookmarkStart w:id="16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Added 2026-08-28, and this card must now run before any percentile is quoted</w:t>
      </w:r>
      <w:r>
        <w:t xml:space="preserve">:</w:t>
      </w:r>
      <w:r>
        <w:t xml:space="preserve"> </w:t>
      </w:r>
      <w:r>
        <w:t xml:space="preserve">the CZB staging path adopts</w:t>
      </w:r>
      <w:r>
        <w:t xml:space="preserve"> </w:t>
      </w:r>
      <w:r>
        <w:rPr>
          <w:rStyle w:val="VerbatimChar"/>
        </w:rPr>
        <w:t xml:space="preserve">lane_entry_shape_k = 12</w:t>
      </w:r>
      <w:r>
        <w:t xml:space="preserve"> </w:t>
      </w:r>
      <w:r>
        <w:t xml:space="preserve">(</w:t>
      </w:r>
      <w:r>
        <w:rPr>
          <w:rStyle w:val="VerbatimChar"/>
        </w:rPr>
        <w:t xml:space="preserve">comfortzone.cutin. CZB_LANE_ENTRY_SHAPE_K</w:t>
      </w:r>
      <w:r>
        <w:t xml:space="preserve">, Jonas’s decision — argument in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§5). That changes the covariate in</w:t>
      </w:r>
      <w:r>
        <w:t xml:space="preserve"> </w:t>
      </w:r>
      <w:r>
        <w:rPr>
          <w:b/>
          <w:bCs/>
        </w:rPr>
        <w:t xml:space="preserve">3 of the 18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TTC4/C2 by +26%, TTC6/C1 by −27%, TTC8/C1 by +8%; the other fifteen are</w:t>
      </w:r>
      <w:r>
        <w:t xml:space="preserve"> </w:t>
      </w:r>
      <w:r>
        <w:t xml:space="preserve">already at saturated overlap and are bit-identical. The changed cells are the early,</w:t>
      </w:r>
      <w:r>
        <w:t xml:space="preserve"> </w:t>
      </w:r>
      <w:r>
        <w:t xml:space="preserve">partially-overlapping ones, which are exactly the cells that identify the lapse, so</w:t>
      </w:r>
      <w:r>
        <w:t xml:space="preserve"> </w:t>
      </w:r>
      <w:r>
        <w:t xml:space="preserve">the stage-1 fit and the whole percentile table must be regenerated under k = 12 before</w:t>
      </w:r>
      <w:r>
        <w:t xml:space="preserve"> </w:t>
      </w:r>
      <w:r>
        <w:t xml:space="preserve">being quoted. Report the old and new percentile tables side by side, since the</w:t>
      </w:r>
      <w:r>
        <w:t xml:space="preserve"> </w:t>
      </w:r>
      <w:r>
        <w:t xml:space="preserve">difference is the price of the k decision and should be visible.</w:t>
      </w:r>
      <w:r>
        <w:t xml:space="preserve"> </w:t>
      </w:r>
      <w:r>
        <w:rPr>
          <w:b/>
          <w:bCs/>
        </w:rPr>
        <w:t xml:space="preserve">Expected size,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in passing on 2026-08-28</w:t>
      </w:r>
      <w:r>
        <w:t xml:space="preserve">: the stage-2 refit under k = 12 returns a</w:t>
      </w:r>
      <w:r>
        <w:t xml:space="preserve"> </w:t>
      </w:r>
      <w:r>
        <w:t xml:space="preserve">between-driver spread of</w:t>
      </w:r>
      <w:r>
        <w:t xml:space="preserve"> </w:t>
      </w:r>
      <w:r>
        <w:rPr>
          <w:b/>
          <w:bCs/>
        </w:rPr>
        <w:t xml:space="preserve">0.194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0.209</w:t>
      </w:r>
      <w:r>
        <w:t xml:space="preserve"> </w:t>
      </w:r>
      <w:r>
        <w:t xml:space="preserve">fitted under k = 0, so the</w:t>
      </w:r>
      <w:r>
        <w:t xml:space="preserve"> </w:t>
      </w:r>
      <w:r>
        <w:t xml:space="preserve">percentile table should move by roughly 7%. If it moves by much more than that,</w:t>
      </w:r>
      <w:r>
        <w:t xml:space="preserve"> </w:t>
      </w:r>
      <w:r>
        <w:t xml:space="preserve">something else has changed and the run needs checking before anything is quoted.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percentile-reporting convention (R.1.Q1), to adopt here</w:t>
      </w:r>
      <w:r>
        <w:t xml:space="preserve">: every percentile is</w:t>
      </w:r>
      <w:r>
        <w:t xml:space="preserve"> </w:t>
      </w:r>
      <w:r>
        <w:t xml:space="preserve">quoted as a triple — value, CI, and the specification it came from (bias variant and</w:t>
      </w:r>
      <w:r>
        <w:t xml:space="preserve"> </w:t>
      </w:r>
      <w:r>
        <w:t xml:space="preserve">k). The summary table gets a header line naming both. This is a convention, not an</w:t>
      </w:r>
      <w:r>
        <w:t xml:space="preserve"> </w:t>
      </w:r>
      <w:r>
        <w:t xml:space="preserve">analysis, and it is cheap to adopt now.</w:t>
      </w:r>
    </w:p>
    <w:bookmarkEnd w:id="16"/>
    <w:bookmarkStart w:id="17" w:name="X943add23c8fdd6c0fd451bee0073f8359de15af"/>
    <w:p>
      <w:pPr>
        <w:pStyle w:val="Heading3"/>
      </w:pPr>
      <w:r>
        <w:t xml:space="preserve">Card B.3.v2 — the LTAP field (re-scoped 2026-08-28)</w:t>
      </w:r>
    </w:p>
    <w:p>
      <w:pPr>
        <w:pStyle w:val="FirstParagraph"/>
      </w:pPr>
      <w:r>
        <w:rPr>
          <w:i/>
          <w:iCs/>
        </w:rPr>
        <w:t xml:space="preserve">(Replaces the B.3 sketch below for planning purposes; that card’s construction advice</w:t>
      </w:r>
      <w:r>
        <w:rPr>
          <w:i/>
          <w:iCs/>
        </w:rPr>
        <w:t xml:space="preserve"> </w:t>
      </w:r>
      <w:r>
        <w:rPr>
          <w:i/>
          <w:iCs/>
        </w:rPr>
        <w:t xml:space="preserve">still stands. Re-scoped because the LTAP data turns out to be the richest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target, not the hardest-to-justify one.)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moved up</w:t>
      </w:r>
      <w:r>
        <w:t xml:space="preserve">: 3 096 Random trials, the same 43 participants,</w:t>
      </w:r>
      <w:r>
        <w:t xml:space="preserve"> </w:t>
      </w:r>
      <w:r>
        <w:rPr>
          <w:b/>
          <w:bCs/>
        </w:rPr>
        <w:t xml:space="preserve">18 well-filled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(9 PET levels × 2</w:t>
      </w:r>
      <w:r>
        <w:t xml:space="preserve"> </w:t>
      </w:r>
      <w:r>
        <w:rPr>
          <w:i/>
          <w:iCs/>
        </w:rPr>
        <w:t xml:space="preserve">oncoming-vehicle</w:t>
      </w:r>
      <w:r>
        <w:t xml:space="preserve"> </w:t>
      </w:r>
      <w:r>
        <w:t xml:space="preserve">speeds, 172 trials each) and an intervention range</w:t>
      </w:r>
      <w:r>
        <w:t xml:space="preserve"> </w:t>
      </w:r>
      <w:r>
        <w:t xml:space="preserve">of 0.110–0.907 — a wider dynamic range than the cyclist overtake (0.140–0.686) and</w:t>
      </w:r>
      <w:r>
        <w:t xml:space="preserve"> </w:t>
      </w:r>
      <w:r>
        <w:t xml:space="preserve">comparable to the cut-in. The cyclist overtake, by contrast, has one condition</w:t>
      </w:r>
      <w:r>
        <w:t xml:space="preserve"> </w:t>
      </w:r>
      <w:r>
        <w:t xml:space="preserve">(1.5 m) that is flat across all five timepoints, so it carries roughly two</w:t>
      </w:r>
      <w:r>
        <w:t xml:space="preserve"> </w:t>
      </w:r>
      <w:r>
        <w:t xml:space="preserve">informative criticality levels.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uniquely offers</w:t>
      </w:r>
      <w:r>
        <w:t xml:space="preserve">: the two-speed axis is the identifying variation the</w:t>
      </w:r>
      <w:r>
        <w:t xml:space="preserve"> </w:t>
      </w:r>
      <w:r>
        <w:t xml:space="preserve">roadmap §0b wants for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model —</w:t>
      </w:r>
      <w:r>
        <w:t xml:space="preserve"> </w:t>
      </w:r>
      <w:r>
        <w:rPr>
          <w:rStyle w:val="VerbatimChar"/>
        </w:rPr>
        <w:t xml:space="preserve">t_react</w:t>
      </w:r>
      <w:r>
        <w:t xml:space="preserve"> </w:t>
      </w:r>
      <w:r>
        <w:t xml:space="preserve">scales with v_ego and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t xml:space="preserve">with stopping distance, so 50 vs 70 km/h at matched PET separates them.</w:t>
      </w:r>
      <w:r>
        <w:t xml:space="preserve"> </w:t>
      </w:r>
      <w:r>
        <w:t xml:space="preserve">Note the direction, which is worth understanding before modelling: intervention is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at 70 km/h at every PET level (e.g. PET2: 0.605 at 50, 0.360 at 70). The</w:t>
      </w:r>
      <w:r>
        <w:t xml:space="preserve"> </w:t>
      </w:r>
      <w:r>
        <w:t xml:space="preserve">speed manipulated is the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vehicle’s (checked in the traces); the ego holds</w:t>
      </w:r>
      <w:r>
        <w:t xml:space="preserve"> </w:t>
      </w:r>
      <w:r>
        <w:t xml:space="preserve">13.9 m/s in both, so PET and the ego’s own kinematics are matched and the effect is</w:t>
      </w:r>
      <w:r>
        <w:t xml:space="preserve"> </w:t>
      </w:r>
      <w:r>
        <w:t xml:space="preserve">carried entirely by distance at matched time.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lacks</w:t>
      </w:r>
      <w:r>
        <w:t xml:space="preserve">: no</w:t>
      </w:r>
      <w:r>
        <w:t xml:space="preserve"> </w:t>
      </w:r>
      <w:r>
        <w:rPr>
          <w:rStyle w:val="VerbatimChar"/>
        </w:rPr>
        <w:t xml:space="preserve">timepoint</w:t>
      </w:r>
      <w:r>
        <w:t xml:space="preserve"> </w:t>
      </w:r>
      <w:r>
        <w:t xml:space="preserve">— there is no truncation series, so LTAP yields a</w:t>
      </w:r>
      <w:r>
        <w:t xml:space="preserve"> </w:t>
      </w:r>
      <w:r>
        <w:t xml:space="preserve">criticality × speed surface and not a criticality × time surface. Cross-scenario</w:t>
      </w:r>
      <w:r>
        <w:t xml:space="preserve"> </w:t>
      </w:r>
      <w:r>
        <w:t xml:space="preserve">comparison must therefore be on criticality, or per-driver (see below).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t xml:space="preserve">: the construction note first, per the original B.3 card — crossing</w:t>
      </w:r>
      <w:r>
        <w:t xml:space="preserve"> </w:t>
      </w:r>
      <w:r>
        <w:t xml:space="preserve">geometry, arrival-time separation at the conflict zone, co-occupancy gating. The</w:t>
      </w:r>
      <w:r>
        <w:t xml:space="preserve"> </w:t>
      </w:r>
      <w:r>
        <w:t xml:space="preserve">cut-in x/y conventions are meaningless 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Cheap partial comparison, available now and already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 </w:t>
      </w:r>
      <w:r>
        <w:t xml:space="preserve">compares all four scenarios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using the fact that every participant saw all four. Per-driver</w:t>
      </w:r>
      <w:r>
        <w:t xml:space="preserve"> </w:t>
      </w:r>
      <w:r>
        <w:t xml:space="preserve">criticality-adjusted propensity correlates +0.50 to +0.74 across scenario pairs,</w:t>
      </w:r>
      <w:r>
        <w:t xml:space="preserve"> </w:t>
      </w:r>
      <w:r>
        <w:t xml:space="preserve">which is 0.53–0.78 of the split-half reliability ceiling (mean 0.69).</w:t>
      </w:r>
    </w:p>
    <w:bookmarkEnd w:id="17"/>
    <w:bookmarkStart w:id="18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8"/>
    <w:bookmarkStart w:id="19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9"/>
    <w:bookmarkStart w:id="20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20"/>
    <w:bookmarkStart w:id="21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21"/>
    <w:bookmarkStart w:id="22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  <w:r>
        <w:t xml:space="preserve"> </w:t>
      </w:r>
      <w:r>
        <w:rPr>
          <w:i/>
          <w:iCs/>
        </w:rPr>
        <w:t xml:space="preserve">[Executed 2026-08-28; full account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loader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src/comfortzone/overtake.py</w:t>
      </w:r>
      <w:r>
        <w:rPr>
          <w:i/>
          <w:iCs/>
        </w:rPr>
        <w:t xml:space="preserve">, validated against the study’s own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labels (0.506 / 1.004 / 1.501 m against 0.5 / 1 / 1.5). Three corrections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card: roles must come from the instructed vehicle because the cut-in’s lateral-span</w:t>
      </w:r>
      <w:r>
        <w:rPr>
          <w:i/>
          <w:iCs/>
        </w:rPr>
        <w:t xml:space="preserve"> </w:t>
      </w:r>
      <w:r>
        <w:rPr>
          <w:i/>
          <w:iCs/>
        </w:rPr>
        <w:t xml:space="preserve">rule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inverted</w:t>
      </w:r>
      <w:r>
        <w:rPr>
          <w:i/>
          <w:iCs/>
        </w:rPr>
        <w:t xml:space="preserve"> </w:t>
      </w:r>
      <w:r>
        <w:rPr>
          <w:i/>
          <w:iCs/>
        </w:rPr>
        <w:t xml:space="preserve">here (the ego moves, not the target); the lateral coordinate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Location_Y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Offset</w:t>
      </w:r>
      <w:r>
        <w:rPr>
          <w:i/>
          <w:iCs/>
        </w:rPr>
        <w:t xml:space="preserve"> </w:t>
      </w:r>
      <w:r>
        <w:rPr>
          <w:i/>
          <w:iCs/>
        </w:rPr>
        <w:t xml:space="preserve">inverts the criticality ordering; and the cyclist width is in</w:t>
      </w:r>
      <w:r>
        <w:rPr>
          <w:i/>
          <w:iCs/>
        </w:rPr>
        <w:t xml:space="preserve"> </w:t>
      </w:r>
      <w:r>
        <w:rPr>
          <w:i/>
          <w:iCs/>
        </w:rPr>
        <w:t xml:space="preserve">the trace (0.582 m), not assumed. The card’s premise did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hold: 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sits at 0.843–1.000 all through the window and cannot see the manipulated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variable. The scenario’s criticality is a lateral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comfort margin</w:t>
      </w:r>
      <w:r>
        <w:rPr>
          <w:i/>
          <w:iCs/>
        </w:rPr>
        <w:t xml:space="preserve">, not a collision</w:t>
      </w:r>
      <w:r>
        <w:rPr>
          <w:i/>
          <w:iCs/>
        </w:rPr>
        <w:t xml:space="preserve"> </w:t>
      </w:r>
      <w:r>
        <w:rPr>
          <w:i/>
          <w:iCs/>
        </w:rPr>
        <w:t xml:space="preserve">geometry. Adding a lateral-clearance comfort term is a preference-function change and</w:t>
      </w:r>
      <w:r>
        <w:rPr>
          <w:i/>
          <w:iCs/>
        </w:rPr>
        <w:t xml:space="preserve"> </w:t>
      </w:r>
      <w:r>
        <w:rPr>
          <w:i/>
          <w:iCs/>
        </w:rPr>
        <w:t xml:space="preserve">is left as a review decision.]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22"/>
    <w:bookmarkStart w:id="23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BodyText"/>
      </w:pPr>
      <w:r>
        <w:rPr>
          <w:i/>
          <w:iCs/>
        </w:rPr>
        <w:t xml:space="preserve">[Adjusted again 2026-08-28, on evidence from the B.1 pilot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§6).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 analysis should freeze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boundary and free each scenario’s lapse</w:t>
      </w:r>
      <w:r>
        <w:rPr>
          <w:i/>
          <w:iCs/>
        </w:rPr>
        <w:t xml:space="preserve">, not freeze everything. The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 rate is 0.081 in the cut-in against 0.198 in the cyclist overtake, so a</w:t>
      </w:r>
      <w:r>
        <w:rPr>
          <w:i/>
          <w:iCs/>
        </w:rPr>
        <w:t xml:space="preserve"> </w:t>
      </w:r>
      <w:r>
        <w:rPr>
          <w:i/>
          <w:iCs/>
        </w:rPr>
        <w:t xml:space="preserve">no-shift primary starts every transfer cell ~0.12 low for reasons unrelated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boundary: frozen transfer scores RMSE 0.176 against chance 0.158, while freeing only</w:t>
      </w:r>
      <w:r>
        <w:rPr>
          <w:i/>
          <w:iCs/>
        </w:rPr>
        <w:t xml:space="preserve"> </w:t>
      </w:r>
      <w:r>
        <w:rPr>
          <w:i/>
          <w:iCs/>
        </w:rPr>
        <w:t xml:space="preserve">the lapse gives 0.129 — past chance and within 0.016 of the full-refit ceiling. The</w:t>
      </w:r>
      <w:r>
        <w:rPr>
          <w:i/>
          <w:iCs/>
        </w:rPr>
        <w:t xml:space="preserve"> </w:t>
      </w:r>
      <w:r>
        <w:rPr>
          <w:i/>
          <w:iCs/>
        </w:rPr>
        <w:t xml:space="preserve">lapse is identified by that scenario’s C1 cells alone, which end where the field is</w:t>
      </w:r>
      <w:r>
        <w:rPr>
          <w:i/>
          <w:iCs/>
        </w:rPr>
        <w:t xml:space="preserve"> </w:t>
      </w:r>
      <w:r>
        <w:rPr>
          <w:i/>
          <w:iCs/>
        </w:rPr>
        <w:t xml:space="preserve">zero by construction and therefore carry no boundary information; the roadmap’s</w:t>
      </w:r>
      <w:r>
        <w:rPr>
          <w:i/>
          <w:iCs/>
        </w:rPr>
        <w:t xml:space="preserve"> </w:t>
      </w:r>
      <w:r>
        <w:rPr>
          <w:i/>
          <w:iCs/>
        </w:rPr>
        <w:t xml:space="preserve">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“one uniform level shift per scenario”</w:t>
      </w:r>
      <w:r>
        <w:rPr>
          <w:i/>
          <w:iCs/>
        </w:rPr>
        <w:t xml:space="preserve"> </w:t>
      </w:r>
      <w:r>
        <w:rPr>
          <w:i/>
          <w:iCs/>
        </w:rPr>
        <w:t xml:space="preserve">does absorb the boundary and should</w:t>
      </w:r>
      <w:r>
        <w:rPr>
          <w:i/>
          <w:iCs/>
        </w:rPr>
        <w:t xml:space="preserve"> </w:t>
      </w:r>
      <w:r>
        <w:rPr>
          <w:i/>
          <w:iCs/>
        </w:rPr>
        <w:t xml:space="preserve">stay secondary. Also: score against the field-independent ceiling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 </w:t>
      </w:r>
      <w:r>
        <w:rPr>
          <w:i/>
          <w:iCs/>
        </w:rPr>
        <w:t xml:space="preserve">— only ~69%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between scenarios, so a perfect one-scalar model cannot reach 100%.]</w:t>
      </w:r>
    </w:p>
    <w:p>
      <w:pPr>
        <w:pStyle w:val="Compact"/>
        <w:numPr>
          <w:ilvl w:val="0"/>
          <w:numId w:val="1018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8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23"/>
    <w:bookmarkStart w:id="24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4"/>
    <w:bookmarkStart w:id="25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20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5"/>
    <w:bookmarkStart w:id="26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6"/>
    <w:bookmarkEnd w:id="27"/>
    <w:bookmarkStart w:id="28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2026-08-28T22:22:59Z</dcterms:created>
  <dcterms:modified xsi:type="dcterms:W3CDTF">2026-08-28T22:22:59Z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