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069" w:rsidRDefault="00C56B60" w:rsidP="00C56B60">
      <w:pPr>
        <w:jc w:val="center"/>
        <w:rPr>
          <w:u w:val="single"/>
        </w:rPr>
      </w:pPr>
      <w:r>
        <w:rPr>
          <w:u w:val="single"/>
        </w:rPr>
        <w:t>Added Along the Way</w:t>
      </w:r>
    </w:p>
    <w:p w:rsidR="00DC4514" w:rsidRDefault="00DC4514" w:rsidP="00DC4514">
      <w:pPr>
        <w:rPr>
          <w:sz w:val="20"/>
          <w:szCs w:val="20"/>
        </w:rPr>
      </w:pPr>
      <w:r w:rsidRPr="00DC4514">
        <w:rPr>
          <w:sz w:val="20"/>
          <w:szCs w:val="20"/>
        </w:rPr>
        <w:t>Please add tips and tricks for future reference including your initials and date (incase its needed). Thank you!</w:t>
      </w:r>
    </w:p>
    <w:p w:rsidR="006A6D00" w:rsidRDefault="00DC4514" w:rsidP="006A6D00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sz w:val="20"/>
          <w:szCs w:val="20"/>
        </w:rPr>
        <w:t>1.</w:t>
      </w:r>
      <w:r w:rsidR="006A6D00" w:rsidRPr="006A6D00">
        <w:rPr>
          <w:rFonts w:ascii="Symbol" w:hAnsi="Symbol"/>
          <w:color w:val="000000"/>
        </w:rPr>
        <w:t></w:t>
      </w:r>
      <w:r w:rsidR="006A6D00">
        <w:rPr>
          <w:rFonts w:ascii="Symbol" w:hAnsi="Symbol"/>
          <w:color w:val="000000"/>
        </w:rPr>
        <w:t></w:t>
      </w:r>
      <w:r w:rsidR="006A6D00">
        <w:rPr>
          <w:color w:val="000000"/>
          <w:sz w:val="14"/>
          <w:szCs w:val="14"/>
        </w:rPr>
        <w:t xml:space="preserve">         </w:t>
      </w:r>
      <w:r w:rsidR="006A6D00">
        <w:rPr>
          <w:rFonts w:ascii="Calibri" w:hAnsi="Calibri"/>
          <w:color w:val="000000"/>
        </w:rPr>
        <w:t xml:space="preserve">Thyroid grossing protocol – we </w:t>
      </w:r>
      <w:r w:rsidR="006A6D00">
        <w:rPr>
          <w:rFonts w:ascii="Calibri" w:hAnsi="Calibri"/>
          <w:b/>
          <w:bCs/>
          <w:color w:val="000000"/>
        </w:rPr>
        <w:t>do not</w:t>
      </w:r>
      <w:r w:rsidR="006A6D00">
        <w:rPr>
          <w:rFonts w:ascii="Calibri" w:hAnsi="Calibri"/>
          <w:color w:val="000000"/>
        </w:rPr>
        <w:t xml:space="preserve"> routinely submit the entire thyroid.</w:t>
      </w:r>
    </w:p>
    <w:p w:rsidR="006A6D00" w:rsidRDefault="006A6D00" w:rsidP="006A6D0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 xml:space="preserve">Follicular lesions: Submit the </w:t>
      </w:r>
      <w:r>
        <w:rPr>
          <w:rFonts w:ascii="Calibri" w:hAnsi="Calibri"/>
          <w:b/>
          <w:bCs/>
          <w:color w:val="000000"/>
        </w:rPr>
        <w:t>entire tumor capsule</w:t>
      </w:r>
      <w:r>
        <w:rPr>
          <w:rFonts w:ascii="Calibri" w:hAnsi="Calibri"/>
          <w:color w:val="000000"/>
        </w:rPr>
        <w:t xml:space="preserve">.  May submit entire lesion if small.  </w:t>
      </w:r>
    </w:p>
    <w:p w:rsidR="006A6D00" w:rsidRDefault="006A6D00" w:rsidP="006A6D0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 xml:space="preserve">Papillary thyroid carcinoma: Usually submit the entire lesion.  If large (e.g. &gt;4 cm, may do 1 per cm including relationship to </w:t>
      </w:r>
      <w:proofErr w:type="spellStart"/>
      <w:r>
        <w:rPr>
          <w:rFonts w:ascii="Calibri" w:hAnsi="Calibri"/>
          <w:color w:val="000000"/>
        </w:rPr>
        <w:t>perithyroidal</w:t>
      </w:r>
      <w:proofErr w:type="spellEnd"/>
      <w:r>
        <w:rPr>
          <w:rFonts w:ascii="Calibri" w:hAnsi="Calibri"/>
          <w:color w:val="000000"/>
        </w:rPr>
        <w:t xml:space="preserve"> tissue, consult attending/PA if questions).  </w:t>
      </w:r>
      <w:r>
        <w:rPr>
          <w:rFonts w:ascii="Calibri" w:hAnsi="Calibri"/>
          <w:b/>
          <w:bCs/>
          <w:i/>
          <w:iCs/>
          <w:color w:val="000000"/>
        </w:rPr>
        <w:t xml:space="preserve">If the lesion is encapsulated, submit the entire lesion capsule. </w:t>
      </w:r>
    </w:p>
    <w:p w:rsidR="006A6D00" w:rsidRDefault="006A6D00" w:rsidP="006A6D0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>Multinodular hyperplasia / goiter: Two sections per lobe plus isthmus (no more than 5 blocks total).  Mention and sample if there is a dominant nodule.  Make sure to check FNA results for benign findings.  May sample any additional suspicious lesions (call attending/PA if questions).</w:t>
      </w:r>
    </w:p>
    <w:p w:rsidR="006A6D00" w:rsidRDefault="006A6D00" w:rsidP="006A6D0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 xml:space="preserve">Uninvolved thyroid: Two representative uninvolved sections from each lobe and isthmus.  </w:t>
      </w:r>
    </w:p>
    <w:p w:rsidR="006A6D00" w:rsidRDefault="006A6D00" w:rsidP="006A6D00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proofErr w:type="gramStart"/>
      <w:r>
        <w:rPr>
          <w:rFonts w:ascii="Calibri" w:hAnsi="Calibri"/>
          <w:color w:val="000000"/>
        </w:rPr>
        <w:t>When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headering</w:t>
      </w:r>
      <w:proofErr w:type="spellEnd"/>
      <w:r>
        <w:rPr>
          <w:rFonts w:ascii="Calibri" w:hAnsi="Calibri"/>
          <w:color w:val="000000"/>
        </w:rPr>
        <w:t xml:space="preserve"> lymph nodes for which you search through the fat for nodes (as opposed to a single lymph node), the vast majority of time the correct procedure is “dissection” (vs excisional biopsy, excision, </w:t>
      </w:r>
      <w:proofErr w:type="spellStart"/>
      <w:r>
        <w:rPr>
          <w:rFonts w:ascii="Calibri" w:hAnsi="Calibri"/>
          <w:color w:val="000000"/>
        </w:rPr>
        <w:t>etc</w:t>
      </w:r>
      <w:proofErr w:type="spellEnd"/>
      <w:r>
        <w:rPr>
          <w:rFonts w:ascii="Calibri" w:hAnsi="Calibri"/>
          <w:color w:val="000000"/>
        </w:rPr>
        <w:t xml:space="preserve">). </w:t>
      </w:r>
    </w:p>
    <w:p w:rsidR="006A6D00" w:rsidRDefault="006A6D00" w:rsidP="006A6D0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 xml:space="preserve">For example, “Lymph node, right pelvic, dissection:” A single lymph node (with no gross dissection required) would be </w:t>
      </w:r>
      <w:proofErr w:type="spellStart"/>
      <w:r>
        <w:rPr>
          <w:rFonts w:ascii="Calibri" w:hAnsi="Calibri"/>
          <w:color w:val="000000"/>
        </w:rPr>
        <w:t>headered</w:t>
      </w:r>
      <w:proofErr w:type="spellEnd"/>
      <w:r>
        <w:rPr>
          <w:rFonts w:ascii="Calibri" w:hAnsi="Calibri"/>
          <w:color w:val="000000"/>
        </w:rPr>
        <w:t xml:space="preserve"> “Lymph node, right axilla, biopsy:”</w:t>
      </w:r>
    </w:p>
    <w:p w:rsidR="006A6D00" w:rsidRDefault="006A6D00" w:rsidP="006A6D00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r>
        <w:rPr>
          <w:rFonts w:ascii="Calibri" w:hAnsi="Calibri"/>
          <w:color w:val="000000"/>
        </w:rPr>
        <w:t xml:space="preserve">ENT service is now HNE (Head, Neck and Endocrine) – in additional to usual ENT specimens, you will also see adrenal glands and paraganglia/paraganglioma/carotid body tumors. </w:t>
      </w:r>
    </w:p>
    <w:p w:rsidR="00DC4514" w:rsidRPr="00DC4514" w:rsidRDefault="00DC4514" w:rsidP="00DC4514">
      <w:pPr>
        <w:rPr>
          <w:sz w:val="20"/>
          <w:szCs w:val="20"/>
        </w:rPr>
      </w:pPr>
      <w:bookmarkStart w:id="0" w:name="_GoBack"/>
      <w:bookmarkEnd w:id="0"/>
    </w:p>
    <w:sectPr w:rsidR="00DC4514" w:rsidRPr="00DC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127595"/>
    <w:rsid w:val="0018714A"/>
    <w:rsid w:val="002E1D72"/>
    <w:rsid w:val="004A3600"/>
    <w:rsid w:val="0051506F"/>
    <w:rsid w:val="006A6D00"/>
    <w:rsid w:val="006E008E"/>
    <w:rsid w:val="00707A5D"/>
    <w:rsid w:val="007D1069"/>
    <w:rsid w:val="009A33E8"/>
    <w:rsid w:val="009F0184"/>
    <w:rsid w:val="00AE552B"/>
    <w:rsid w:val="00C56B60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listparagraph">
    <w:name w:val="x_x_msolistparagraph"/>
    <w:basedOn w:val="Normal"/>
    <w:rsid w:val="006A6D00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listparagraph">
    <w:name w:val="x_x_msolistparagraph"/>
    <w:basedOn w:val="Normal"/>
    <w:rsid w:val="006A6D00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6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Andrea Hartwick</cp:lastModifiedBy>
  <cp:revision>3</cp:revision>
  <dcterms:created xsi:type="dcterms:W3CDTF">2018-12-04T17:46:00Z</dcterms:created>
  <dcterms:modified xsi:type="dcterms:W3CDTF">2019-01-21T22:27:00Z</dcterms:modified>
</cp:coreProperties>
</file>