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46F31" w14:textId="32C28121" w:rsidR="000713CB" w:rsidRDefault="00B36BBE">
      <w:r>
        <w:t>5 prostate cores per block max</w:t>
      </w:r>
    </w:p>
    <w:sectPr w:rsidR="000713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70EF"/>
    <w:rsid w:val="000713CB"/>
    <w:rsid w:val="00933140"/>
    <w:rsid w:val="00B36BBE"/>
    <w:rsid w:val="00CB7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15F2"/>
  <w15:chartTrackingRefBased/>
  <w15:docId w15:val="{E5A7F5B8-96C6-4D5C-B7C9-B356A9B6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Hartwick, Andrea</dc:creator>
  <cp:keywords/>
  <dc:description/>
  <cp:lastModifiedBy>Hartwick, Andrea</cp:lastModifiedBy>
  <cp:revision>3</cp:revision>
  <dcterms:created xsi:type="dcterms:W3CDTF">2019-10-03T21:20:00Z</dcterms:created>
  <dcterms:modified xsi:type="dcterms:W3CDTF">2023-03-10T19:11:00Z</dcterms:modified>
</cp:coreProperties>
</file>