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A8C6" w:val="clear"/>
            <w:tcMar>
              <w:top w:type="dxa" w:w="160"/>
              <w:left w:type="dxa" w:w="200"/>
              <w:bottom w:type="dxa" w:w="160"/>
              <w:right w:type="dxa" w:w="200"/>
            </w:tcMar>
          </w:tcPr>
          <w:p>
            <w:pPr>
              <w:jc w:val="center"/>
            </w:pPr>
            <w:r>
              <w:rPr>
                <w:rFonts w:ascii="Arial" w:cs="Arial" w:eastAsia="Arial" w:hAnsi="Arial"/>
                <w:b/>
                <w:bCs/>
                <w:color w:val="FFFFFF"/>
                <w:sz w:val="18"/>
                <w:szCs w:val="18"/>
              </w:rPr>
              <w:t xml:space="preserve">DOCUMENTO TÉCNICO  ·  CONFIDENCIAL</w:t>
            </w:r>
          </w:p>
        </w:tc>
      </w:tr>
    </w:tbl>
    <w:p>
      <w:pPr>
        <w:spacing w:after="200"/>
      </w:pPr>
      <w:r>
        <w:rPr>
          <w:rFonts w:ascii="Arial" w:cs="Arial" w:eastAsia="Arial" w:hAnsi="Arial"/>
        </w:rPr>
        <w:t xml:space="preserve"/>
      </w:r>
    </w:p>
    <w:p>
      <w:pPr>
        <w:spacing w:after="60"/>
        <w:jc w:val="center"/>
      </w:pPr>
      <w:r>
        <w:rPr>
          <w:rFonts w:ascii="Arial" w:cs="Arial" w:eastAsia="Arial" w:hAnsi="Arial"/>
          <w:b/>
          <w:bCs/>
          <w:color w:val="1A2B4A"/>
          <w:sz w:val="52"/>
          <w:szCs w:val="52"/>
        </w:rPr>
        <w:t xml:space="preserve">AIOS Munso</w:t>
      </w:r>
    </w:p>
    <w:p>
      <w:pPr>
        <w:spacing w:after="60"/>
        <w:jc w:val="center"/>
      </w:pPr>
      <w:r>
        <w:rPr>
          <w:rFonts w:ascii="Arial" w:cs="Arial" w:eastAsia="Arial" w:hAnsi="Arial"/>
          <w:b/>
          <w:bCs/>
          <w:color w:val="00A8C6"/>
          <w:sz w:val="34"/>
          <w:szCs w:val="34"/>
        </w:rPr>
        <w:t xml:space="preserve">Diseño Técnico del Sync Service</w:t>
      </w:r>
    </w:p>
    <w:p>
      <w:pPr>
        <w:spacing w:after="400"/>
        <w:jc w:val="center"/>
      </w:pPr>
      <w:r>
        <w:rPr>
          <w:rFonts w:ascii="Arial" w:cs="Arial" w:eastAsia="Arial" w:hAnsi="Arial"/>
          <w:color w:val="555555"/>
          <w:sz w:val="26"/>
          <w:szCs w:val="26"/>
        </w:rPr>
        <w:t xml:space="preserve">Integración Softland ↔ Supabase</w:t>
      </w:r>
    </w:p>
    <w:p>
      <w:pPr>
        <w:spacing w:after="200"/>
      </w:pPr>
      <w:r>
        <w:rPr>
          <w:rFonts w:ascii="Arial" w:cs="Arial" w:eastAsia="Arial" w:hAnsi="Arial"/>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0D0D0" w:sz="1"/>
              <w:left w:val="single" w:color="D0D0D0" w:sz="1"/>
              <w:bottom w:val="single" w:color="D0D0D0" w:sz="1"/>
              <w:right w:val="single" w:color="D0D0D0"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Versión</w:t>
            </w:r>
          </w:p>
        </w:tc>
        <w:tc>
          <w:tcPr>
            <w:tcW w:type="dxa" w:w="3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 — Borrador para revisión IT</w:t>
            </w:r>
          </w:p>
        </w:tc>
      </w:tr>
      <w:tr>
        <w:tc>
          <w:tcPr>
            <w:tcW w:type="dxa" w:w="2200"/>
            <w:tcBorders>
              <w:top w:val="single" w:color="D0D0D0" w:sz="1"/>
              <w:left w:val="single" w:color="D0D0D0" w:sz="1"/>
              <w:bottom w:val="single" w:color="D0D0D0" w:sz="1"/>
              <w:right w:val="single" w:color="D0D0D0"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Fecha</w:t>
            </w:r>
          </w:p>
        </w:tc>
        <w:tc>
          <w:tcPr>
            <w:tcW w:type="dxa" w:w="3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15 de abril de 2026</w:t>
            </w:r>
          </w:p>
        </w:tc>
      </w:tr>
      <w:tr>
        <w:tc>
          <w:tcPr>
            <w:tcW w:type="dxa" w:w="2200"/>
            <w:tcBorders>
              <w:top w:val="single" w:color="D0D0D0" w:sz="1"/>
              <w:left w:val="single" w:color="D0D0D0" w:sz="1"/>
              <w:bottom w:val="single" w:color="D0D0D0" w:sz="1"/>
              <w:right w:val="single" w:color="D0D0D0"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Preparado por</w:t>
            </w:r>
          </w:p>
        </w:tc>
        <w:tc>
          <w:tcPr>
            <w:tcW w:type="dxa" w:w="3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NexAI Solutions CR</w:t>
            </w:r>
          </w:p>
        </w:tc>
      </w:tr>
      <w:tr>
        <w:tc>
          <w:tcPr>
            <w:tcW w:type="dxa" w:w="2200"/>
            <w:tcBorders>
              <w:top w:val="single" w:color="D0D0D0" w:sz="1"/>
              <w:left w:val="single" w:color="D0D0D0" w:sz="1"/>
              <w:bottom w:val="single" w:color="D0D0D0" w:sz="1"/>
              <w:right w:val="single" w:color="D0D0D0"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Destinatario</w:t>
            </w:r>
          </w:p>
        </w:tc>
        <w:tc>
          <w:tcPr>
            <w:tcW w:type="dxa" w:w="3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Kenneth Cubero Castro — Gerente TI Munso</w:t>
            </w:r>
          </w:p>
        </w:tc>
      </w:tr>
      <w:tr>
        <w:tc>
          <w:tcPr>
            <w:tcW w:type="dxa" w:w="2200"/>
            <w:tcBorders>
              <w:top w:val="single" w:color="D0D0D0" w:sz="1"/>
              <w:left w:val="single" w:color="D0D0D0" w:sz="1"/>
              <w:bottom w:val="single" w:color="D0D0D0" w:sz="1"/>
              <w:right w:val="single" w:color="D0D0D0"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Clasificación</w:t>
            </w:r>
          </w:p>
        </w:tc>
        <w:tc>
          <w:tcPr>
            <w:tcW w:type="dxa" w:w="3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Confidencial — Solo uso interno</w:t>
            </w:r>
          </w:p>
        </w:tc>
      </w:tr>
    </w:tbl>
    <w:p>
      <w:pPr>
        <w:spacing w:after="4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A8C6" w:sz="1"/>
              <w:left w:val="none" w:color="FFFFFF" w:sz="0"/>
              <w:bottom w:val="none" w:color="FFFFFF" w:sz="0"/>
              <w:right w:val="none" w:color="FFFFFF" w:sz="0"/>
            </w:tcBorders>
            <w:tcMar>
              <w:top w:type="dxa" w:w="120"/>
              <w:left w:type="dxa" w:w="0"/>
              <w:bottom w:type="dxa" w:w="60"/>
              <w:right w:type="dxa" w:w="0"/>
            </w:tcMar>
          </w:tcPr>
          <w:p>
            <w:r>
              <w:rPr>
                <w:rFonts w:ascii="Arial" w:cs="Arial" w:eastAsia="Arial" w:hAnsi="Arial"/>
                <w:b/>
                <w:bCs/>
                <w:color w:val="1A2B4A"/>
                <w:sz w:val="20"/>
                <w:szCs w:val="20"/>
              </w:rPr>
              <w:t xml:space="preserve">Munso Importaciones S.A.</w:t>
            </w:r>
          </w:p>
        </w:tc>
        <w:tc>
          <w:tcPr>
            <w:tcW w:type="dxa" w:w="4680"/>
            <w:tcBorders>
              <w:top w:val="single" w:color="00A8C6" w:sz="1"/>
              <w:left w:val="none" w:color="FFFFFF" w:sz="0"/>
              <w:bottom w:val="none" w:color="FFFFFF" w:sz="0"/>
              <w:right w:val="none" w:color="FFFFFF" w:sz="0"/>
            </w:tcBorders>
            <w:tcMar>
              <w:top w:type="dxa" w:w="120"/>
              <w:left w:type="dxa" w:w="0"/>
              <w:bottom w:type="dxa" w:w="60"/>
              <w:right w:type="dxa" w:w="0"/>
            </w:tcMar>
          </w:tcPr>
          <w:p>
            <w:pPr>
              <w:jc w:val="right"/>
            </w:pPr>
            <w:r>
              <w:rPr>
                <w:rFonts w:ascii="Arial" w:cs="Arial" w:eastAsia="Arial" w:hAnsi="Arial"/>
                <w:b/>
                <w:bCs/>
                <w:color w:val="00A8C6"/>
                <w:sz w:val="20"/>
                <w:szCs w:val="20"/>
              </w:rPr>
              <w:t xml:space="preserve">NexAI Solutions CR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 Resumen Ejecutivo</w:t>
            </w:r>
          </w:p>
        </w:tc>
      </w:tr>
    </w:tbl>
    <w:p>
      <w:pPr>
        <w:spacing w:after="120"/>
      </w:pPr>
      <w:r>
        <w:rPr>
          <w:rFonts w:ascii="Arial" w:cs="Arial" w:eastAsia="Arial" w:hAnsi="Arial"/>
        </w:rPr>
        <w:t xml:space="preserve"/>
      </w:r>
    </w:p>
    <w:p>
      <w:pPr>
        <w:spacing w:after="120" w:line="340"/>
      </w:pPr>
      <w:r>
        <w:rPr>
          <w:rFonts w:ascii="Arial" w:cs="Arial" w:eastAsia="Arial" w:hAnsi="Arial"/>
          <w:sz w:val="22"/>
          <w:szCs w:val="22"/>
        </w:rPr>
        <w:t xml:space="preserve">Este documento describe el diseño técnico del </w:t>
      </w:r>
      <w:r>
        <w:rPr>
          <w:rFonts w:ascii="Arial" w:cs="Arial" w:eastAsia="Arial" w:hAnsi="Arial"/>
          <w:b/>
          <w:bCs/>
          <w:sz w:val="22"/>
          <w:szCs w:val="22"/>
        </w:rPr>
        <w:t xml:space="preserve">Sync Service</w:t>
      </w:r>
      <w:r>
        <w:rPr>
          <w:rFonts w:ascii="Arial" w:cs="Arial" w:eastAsia="Arial" w:hAnsi="Arial"/>
          <w:sz w:val="22"/>
          <w:szCs w:val="22"/>
        </w:rPr>
        <w:t xml:space="preserve">: el componente que conectará de forma segura la base de datos de Softland (instalada en la red interna de Munso) con la plataforma AIOS alojada en Supabase (nube).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C6" w:sz="1"/>
              <w:left w:val="single" w:color="00A8C6" w:sz="12"/>
              <w:bottom w:val="single" w:color="00A8C6" w:sz="1"/>
              <w:right w:val="single" w:color="00A8C6" w:sz="1"/>
            </w:tcBorders>
            <w:shd w:fill="E0F6FB" w:val="clear"/>
            <w:tcMar>
              <w:top w:type="dxa" w:w="130"/>
              <w:left w:type="dxa" w:w="160"/>
              <w:bottom w:type="dxa" w:w="130"/>
              <w:right w:type="dxa" w:w="160"/>
            </w:tcMar>
          </w:tcPr>
          <w:p>
            <w:pPr>
              <w:spacing w:line="340"/>
            </w:pPr>
            <w:r>
              <w:rPr>
                <w:rFonts w:ascii="Arial" w:cs="Arial" w:eastAsia="Arial" w:hAnsi="Arial"/>
                <w:b/>
                <w:bCs/>
                <w:color w:val="1A2B4A"/>
                <w:sz w:val="22"/>
                <w:szCs w:val="22"/>
              </w:rPr>
              <w:t xml:space="preserve">Principio fundamental de seguridad:</w:t>
            </w:r>
            <w:r>
              <w:rPr>
                <w:rFonts w:ascii="Arial" w:cs="Arial" w:eastAsia="Arial" w:hAnsi="Arial"/>
                <w:color w:val="1A1A1A"/>
                <w:sz w:val="22"/>
                <w:szCs w:val="22"/>
              </w:rPr>
              <w:t xml:space="preserve">  El Sync Service únicamente realiza conexiones SALIENTES. Nunca abre puertos, nunca expone el servidor al internet y nunca escribe en Softland. Es equivalente a abrir un navegador web desde la red de Munso.</w:t>
            </w:r>
          </w:p>
        </w:tc>
      </w:tr>
    </w:tbl>
    <w:p>
      <w:pPr>
        <w:spacing w:after="120"/>
      </w:pPr>
      <w:r>
        <w:rPr>
          <w:rFonts w:ascii="Arial" w:cs="Arial" w:eastAsia="Arial" w:hAnsi="Arial"/>
        </w:rPr>
        <w:t xml:space="preserve"/>
      </w:r>
    </w:p>
    <w:p>
      <w:pPr>
        <w:pStyle w:val="Heading3"/>
        <w:spacing w:after="120" w:before="280"/>
      </w:pPr>
      <w:r>
        <w:rPr>
          <w:rFonts w:ascii="Arial" w:cs="Arial" w:eastAsia="Arial" w:hAnsi="Arial"/>
          <w:b/>
          <w:bCs/>
          <w:color w:val="1A2B4A"/>
          <w:sz w:val="24"/>
          <w:szCs w:val="24"/>
        </w:rPr>
        <w:t xml:space="preserve">¿Qué problema resuelve?</w:t>
      </w:r>
    </w:p>
    <w:p>
      <w:pPr>
        <w:spacing w:after="120" w:line="340"/>
      </w:pPr>
      <w:r>
        <w:rPr>
          <w:rFonts w:ascii="Arial" w:cs="Arial" w:eastAsia="Arial" w:hAnsi="Arial"/>
          <w:sz w:val="22"/>
          <w:szCs w:val="22"/>
        </w:rPr>
        <w:t xml:space="preserve">El Agente Conciliador del AIOS necesita acceso a datos de facturas, clientes y notas de crédito de Softland para operar. La base de datos de Softland vive en la red interna de Munso y no puede ni debe exponerse directamente a internet. El Sync Service actúa como el mensajero que, desde adentro de la red, lee los datos necesarios y los envía cifrados hacia Supabase en intervalos programados.</w:t>
      </w:r>
    </w:p>
    <w:p>
      <w:pPr>
        <w:spacing w:after="80"/>
      </w:pPr>
      <w:r>
        <w:rPr>
          <w:rFonts w:ascii="Arial" w:cs="Arial" w:eastAsia="Arial" w:hAnsi="Arial"/>
        </w:rPr>
        <w:t xml:space="preserve"/>
      </w:r>
    </w:p>
    <w:p>
      <w:pPr>
        <w:pStyle w:val="Heading3"/>
        <w:spacing w:after="120" w:before="280"/>
      </w:pPr>
      <w:r>
        <w:rPr>
          <w:rFonts w:ascii="Arial" w:cs="Arial" w:eastAsia="Arial" w:hAnsi="Arial"/>
          <w:b/>
          <w:bCs/>
          <w:color w:val="1A2B4A"/>
          <w:sz w:val="24"/>
          <w:szCs w:val="24"/>
        </w:rPr>
        <w:t xml:space="preserve">Analogía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124" w:sz="1"/>
              <w:left w:val="single" w:color="F4A124" w:sz="12"/>
              <w:bottom w:val="single" w:color="F4A124" w:sz="1"/>
              <w:right w:val="single" w:color="F4A124" w:sz="1"/>
            </w:tcBorders>
            <w:shd w:fill="FEF3E2" w:val="clear"/>
            <w:tcMar>
              <w:top w:type="dxa" w:w="130"/>
              <w:left w:type="dxa" w:w="160"/>
              <w:bottom w:type="dxa" w:w="130"/>
              <w:right w:type="dxa" w:w="160"/>
            </w:tcMar>
          </w:tcPr>
          <w:p>
            <w:pPr>
              <w:spacing w:line="340"/>
            </w:pPr>
            <w:r>
              <w:rPr>
                <w:rFonts w:ascii="Arial" w:cs="Arial" w:eastAsia="Arial" w:hAnsi="Arial"/>
                <w:i/>
                <w:iCs/>
                <w:color w:val="1A2B4A"/>
                <w:sz w:val="22"/>
                <w:szCs w:val="22"/>
              </w:rPr>
              <w:t xml:space="preserve">Imagina que la base de datos de Softland es una caja fuerte dentro de una bóveda bancaria. El Sync Service es el empleado autorizado que entra a la bóveda, saca únicamente las facturas del día, las sella en un sobre cifrado y las envía por correo certificado a la sucursal en la nube (Supabase). La bóveda nunca se abre hacia afuera.</w:t>
            </w:r>
          </w:p>
        </w:tc>
      </w:tr>
    </w:tbl>
    <w:p>
      <w:pPr>
        <w:spacing w:after="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2. Arquitectura de la Solución</w:t>
            </w:r>
          </w:p>
        </w:tc>
      </w:tr>
    </w:tbl>
    <w:p>
      <w:pPr>
        <w:spacing w:after="12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2.1 Diagrama de Flujo de Datos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
        <w:gridCol w:w="2560"/>
        <w:gridCol w:w="400"/>
        <w:gridCol w:w="3400"/>
      </w:tblGrid>
      <w:tr>
        <w:tc>
          <w:tcPr>
            <w:tcW w:type="dxa" w:w="2600"/>
            <w:tcBorders>
              <w:top w:val="single" w:color="1A2B4A" w:sz="1"/>
              <w:left w:val="single" w:color="1A2B4A" w:sz="1"/>
              <w:bottom w:val="single" w:color="1A2B4A" w:sz="1"/>
              <w:right w:val="single" w:color="1A2B4A" w:sz="1"/>
            </w:tcBorders>
            <w:shd w:fill="1A2B4A" w:val="clear"/>
            <w:tcMar>
              <w:top w:type="dxa" w:w="130"/>
              <w:left w:type="dxa" w:w="160"/>
              <w:bottom w:type="dxa" w:w="130"/>
              <w:right w:type="dxa" w:w="160"/>
            </w:tcMar>
            <w:vAlign w:val="center"/>
          </w:tcPr>
          <w:p>
            <w:pPr>
              <w:jc w:val="center"/>
            </w:pPr>
            <w:r>
              <w:rPr>
                <w:rFonts w:ascii="Arial" w:cs="Arial" w:eastAsia="Arial" w:hAnsi="Arial"/>
                <w:b/>
                <w:bCs/>
                <w:color w:val="FFFFFF"/>
                <w:sz w:val="22"/>
                <w:szCs w:val="22"/>
              </w:rPr>
              <w:t xml:space="preserve">SQL Server 2012</w:t>
            </w:r>
          </w:p>
          <w:p>
            <w:pPr>
              <w:jc w:val="center"/>
            </w:pPr>
            <w:r>
              <w:rPr>
                <w:rFonts w:ascii="Arial" w:cs="Arial" w:eastAsia="Arial" w:hAnsi="Arial"/>
                <w:color w:val="E0F6FB"/>
                <w:sz w:val="19"/>
                <w:szCs w:val="19"/>
              </w:rPr>
              <w:t xml:space="preserve">Base de datos "Softland"</w:t>
            </w:r>
          </w:p>
          <w:p>
            <w:pPr>
              <w:jc w:val="center"/>
            </w:pPr>
            <w:r>
              <w:rPr>
                <w:rFonts w:ascii="Arial" w:cs="Arial" w:eastAsia="Arial" w:hAnsi="Arial"/>
                <w:i/>
                <w:iCs/>
                <w:color w:val="D0D0D0"/>
                <w:sz w:val="18"/>
                <w:szCs w:val="18"/>
              </w:rPr>
              <w:t xml:space="preserve">Red interna Munso</w:t>
            </w:r>
          </w:p>
        </w:tc>
        <w:tc>
          <w:tcPr>
            <w:tcW w:type="dxa" w:w="400"/>
            <w:tcBorders>
              <w:top w:val="none" w:color="FFFFFF" w:sz="0"/>
              <w:left w:val="none" w:color="FFFFFF" w:sz="0"/>
              <w:bottom w:val="none" w:color="FFFFFF" w:sz="0"/>
              <w:right w:val="none" w:color="FFFFFF" w:sz="0"/>
            </w:tcBorders>
            <w:shd w:fill="FFFFFF" w:val="clear"/>
            <w:tcMar>
              <w:top w:type="dxa" w:w="0"/>
              <w:left w:type="dxa" w:w="60"/>
              <w:bottom w:type="dxa" w:w="0"/>
              <w:right w:type="dxa" w:w="60"/>
            </w:tcMar>
            <w:vAlign w:val="center"/>
          </w:tcPr>
          <w:p>
            <w:pPr>
              <w:jc w:val="center"/>
            </w:pPr>
            <w:r>
              <w:rPr>
                <w:rFonts w:ascii="Arial" w:cs="Arial" w:eastAsia="Arial" w:hAnsi="Arial"/>
                <w:b/>
                <w:bCs/>
                <w:color w:val="00A8C6"/>
                <w:sz w:val="36"/>
                <w:szCs w:val="36"/>
              </w:rPr>
              <w:t xml:space="preserve">→</w:t>
            </w:r>
          </w:p>
        </w:tc>
        <w:tc>
          <w:tcPr>
            <w:tcW w:type="dxa" w:w="2560"/>
            <w:tcBorders>
              <w:top w:val="single" w:color="00A8C6" w:sz="1"/>
              <w:left w:val="single" w:color="00A8C6" w:sz="1"/>
              <w:bottom w:val="single" w:color="00A8C6" w:sz="1"/>
              <w:right w:val="single" w:color="00A8C6" w:sz="1"/>
            </w:tcBorders>
            <w:shd w:fill="E0F6FB" w:val="clear"/>
            <w:tcMar>
              <w:top w:type="dxa" w:w="130"/>
              <w:left w:type="dxa" w:w="160"/>
              <w:bottom w:type="dxa" w:w="130"/>
              <w:right w:type="dxa" w:w="160"/>
            </w:tcMar>
            <w:vAlign w:val="center"/>
          </w:tcPr>
          <w:p>
            <w:pPr>
              <w:jc w:val="center"/>
            </w:pPr>
            <w:r>
              <w:rPr>
                <w:rFonts w:ascii="Arial" w:cs="Arial" w:eastAsia="Arial" w:hAnsi="Arial"/>
                <w:b/>
                <w:bCs/>
                <w:color w:val="1A2B4A"/>
                <w:sz w:val="22"/>
                <w:szCs w:val="22"/>
              </w:rPr>
              <w:t xml:space="preserve">Sync Service</w:t>
            </w:r>
          </w:p>
          <w:p>
            <w:pPr>
              <w:jc w:val="center"/>
            </w:pPr>
            <w:r>
              <w:rPr>
                <w:rFonts w:ascii="Arial" w:cs="Arial" w:eastAsia="Arial" w:hAnsi="Arial"/>
                <w:color w:val="555555"/>
                <w:sz w:val="19"/>
                <w:szCs w:val="19"/>
              </w:rPr>
              <w:t xml:space="preserve">Windows Service / .exe</w:t>
            </w:r>
          </w:p>
          <w:p>
            <w:pPr>
              <w:jc w:val="center"/>
            </w:pPr>
            <w:r>
              <w:rPr>
                <w:rFonts w:ascii="Arial" w:cs="Arial" w:eastAsia="Arial" w:hAnsi="Arial"/>
                <w:i/>
                <w:iCs/>
                <w:color w:val="555555"/>
                <w:sz w:val="18"/>
                <w:szCs w:val="18"/>
              </w:rPr>
              <w:t xml:space="preserve">Servidor Munso (mismo host)</w:t>
            </w:r>
          </w:p>
        </w:tc>
        <w:tc>
          <w:tcPr>
            <w:tcW w:type="dxa" w:w="400"/>
            <w:tcBorders>
              <w:top w:val="none" w:color="FFFFFF" w:sz="0"/>
              <w:left w:val="none" w:color="FFFFFF" w:sz="0"/>
              <w:bottom w:val="none" w:color="FFFFFF" w:sz="0"/>
              <w:right w:val="none" w:color="FFFFFF" w:sz="0"/>
            </w:tcBorders>
            <w:shd w:fill="FFFFFF" w:val="clear"/>
            <w:tcMar>
              <w:top w:type="dxa" w:w="0"/>
              <w:left w:type="dxa" w:w="60"/>
              <w:bottom w:type="dxa" w:w="0"/>
              <w:right w:type="dxa" w:w="60"/>
            </w:tcMar>
            <w:vAlign w:val="center"/>
          </w:tcPr>
          <w:p>
            <w:pPr>
              <w:jc w:val="center"/>
            </w:pPr>
            <w:r>
              <w:rPr>
                <w:rFonts w:ascii="Arial" w:cs="Arial" w:eastAsia="Arial" w:hAnsi="Arial"/>
                <w:b/>
                <w:bCs/>
                <w:color w:val="00A8C6"/>
                <w:sz w:val="36"/>
                <w:szCs w:val="36"/>
              </w:rPr>
              <w:t xml:space="preserve">→</w:t>
            </w:r>
          </w:p>
        </w:tc>
        <w:tc>
          <w:tcPr>
            <w:tcW w:type="dxa" w:w="3400"/>
            <w:tcBorders>
              <w:top w:val="single" w:color="2E8B57" w:sz="1"/>
              <w:left w:val="single" w:color="2E8B57" w:sz="1"/>
              <w:bottom w:val="single" w:color="2E8B57" w:sz="1"/>
              <w:right w:val="single" w:color="2E8B57" w:sz="1"/>
            </w:tcBorders>
            <w:shd w:fill="E6F4ED" w:val="clear"/>
            <w:tcMar>
              <w:top w:type="dxa" w:w="130"/>
              <w:left w:type="dxa" w:w="160"/>
              <w:bottom w:type="dxa" w:w="130"/>
              <w:right w:type="dxa" w:w="160"/>
            </w:tcMar>
            <w:vAlign w:val="center"/>
          </w:tcPr>
          <w:p>
            <w:pPr>
              <w:jc w:val="center"/>
            </w:pPr>
            <w:r>
              <w:rPr>
                <w:rFonts w:ascii="Arial" w:cs="Arial" w:eastAsia="Arial" w:hAnsi="Arial"/>
                <w:b/>
                <w:bCs/>
                <w:color w:val="2E8B57"/>
                <w:sz w:val="22"/>
                <w:szCs w:val="22"/>
              </w:rPr>
              <w:t xml:space="preserve">Supabase</w:t>
            </w:r>
          </w:p>
          <w:p>
            <w:pPr>
              <w:jc w:val="center"/>
            </w:pPr>
            <w:r>
              <w:rPr>
                <w:rFonts w:ascii="Arial" w:cs="Arial" w:eastAsia="Arial" w:hAnsi="Arial"/>
                <w:color w:val="555555"/>
                <w:sz w:val="19"/>
                <w:szCs w:val="19"/>
              </w:rPr>
              <w:t xml:space="preserve">PostgreSQL + API REST</w:t>
            </w:r>
          </w:p>
          <w:p>
            <w:pPr>
              <w:jc w:val="center"/>
            </w:pPr>
            <w:r>
              <w:rPr>
                <w:rFonts w:ascii="Arial" w:cs="Arial" w:eastAsia="Arial" w:hAnsi="Arial"/>
                <w:i/>
                <w:iCs/>
                <w:color w:val="555555"/>
                <w:sz w:val="18"/>
                <w:szCs w:val="18"/>
              </w:rPr>
              <w:t xml:space="preserve">HTTPS/443 — Internet (nube)</w:t>
            </w:r>
          </w:p>
        </w:tc>
      </w:tr>
      <w:tr>
        <w:tc>
          <w:tcPr>
            <w:tcW w:type="dxa" w:w="26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i/>
                <w:iCs/>
                <w:color w:val="555555"/>
                <w:sz w:val="18"/>
                <w:szCs w:val="18"/>
              </w:rPr>
              <w:t xml:space="preserve">localhost — sin red pública</w:t>
            </w:r>
          </w:p>
        </w:tc>
        <w:tc>
          <w:tcPr>
            <w:tcW w:type="dxa" w:w="400"/>
            <w:tcBorders>
              <w:top w:val="none" w:color="FFFFFF" w:sz="0"/>
              <w:left w:val="none" w:color="FFFFFF" w:sz="0"/>
              <w:bottom w:val="none" w:color="FFFFFF" w:sz="0"/>
              <w:right w:val="none" w:color="FFFFFF" w:sz="0"/>
            </w:tcBorders>
            <w:shd w:fill="FFFFFF" w:val="clear"/>
          </w:tcPr>
          <w:p/>
        </w:tc>
        <w:tc>
          <w:tcPr>
            <w:tcW w:type="dxa" w:w="2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i/>
                <w:iCs/>
                <w:color w:val="555555"/>
                <w:sz w:val="18"/>
                <w:szCs w:val="18"/>
              </w:rPr>
              <w:t xml:space="preserve">Solo lectura · Solo noches</w:t>
            </w:r>
          </w:p>
        </w:tc>
        <w:tc>
          <w:tcPr>
            <w:tcW w:type="dxa" w:w="400"/>
            <w:tcBorders>
              <w:top w:val="none" w:color="FFFFFF" w:sz="0"/>
              <w:left w:val="none" w:color="FFFFFF" w:sz="0"/>
              <w:bottom w:val="none" w:color="FFFFFF" w:sz="0"/>
              <w:right w:val="none" w:color="FFFFFF" w:sz="0"/>
            </w:tcBorders>
            <w:shd w:fill="FFFFFF" w:val="clear"/>
          </w:tcPr>
          <w:p/>
        </w:tc>
        <w:tc>
          <w:tcPr>
            <w:tcW w:type="dxa" w:w="34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i/>
                <w:iCs/>
                <w:color w:val="555555"/>
                <w:sz w:val="18"/>
                <w:szCs w:val="18"/>
              </w:rPr>
              <w:t xml:space="preserve">TLS 1.2 · Cifrado en tránsito</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2.2 Componentes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Componente</w:t>
            </w:r>
          </w:p>
        </w:tc>
        <w:tc>
          <w:tcPr>
            <w:tcW w:type="dxa" w:w="65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Descripción</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SQL Server 2012 (Softland)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Fuente de verdad del ERP. El Sync Service se conecta a él por localhost con un usuario de solo lectura. Nunca se modifica.</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Sync Service</w:t>
            </w:r>
          </w:p>
        </w:tc>
        <w:tc>
          <w:tcPr>
            <w:tcW w:type="dxa" w:w="6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Proceso programado que corre dentro de la red de Munso. Lee datos de Softland y los envía a Supabase mediante HTTPS. Empaquetado como .exe independiente, no requiere instalación de dependencias adicionales.</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Supabase (PostgreSQL)</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Base de datos en la nube que alimenta el AIOS. Recibe los datos sincronizados del Sync Service y los pone a disposición del Agente Conciliador.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AIOS Dashboard</w:t>
            </w:r>
          </w:p>
        </w:tc>
        <w:tc>
          <w:tcPr>
            <w:tcW w:type="dxa" w:w="6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Interfaz web donde Georgina y Fabiola aprueban las propuestas del agente. No tiene acceso directo a Softland en ningún momento.</w:t>
            </w:r>
          </w:p>
        </w:tc>
      </w:tr>
    </w:tbl>
    <w:p>
      <w:pPr>
        <w:spacing w:after="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3. Restricciones Técnicas del Entorno</w:t>
            </w:r>
          </w:p>
        </w:tc>
      </w:tr>
    </w:tbl>
    <w:p>
      <w:pPr>
        <w:spacing w:after="120"/>
      </w:pPr>
      <w:r>
        <w:rPr>
          <w:rFonts w:ascii="Arial" w:cs="Arial" w:eastAsia="Arial" w:hAnsi="Arial"/>
        </w:rPr>
        <w:t xml:space="preserve"/>
      </w:r>
    </w:p>
    <w:p>
      <w:pPr>
        <w:spacing w:after="120" w:line="340"/>
      </w:pPr>
      <w:r>
        <w:rPr>
          <w:rFonts w:ascii="Arial" w:cs="Arial" w:eastAsia="Arial" w:hAnsi="Arial"/>
          <w:sz w:val="22"/>
          <w:szCs w:val="22"/>
        </w:rPr>
        <w:t xml:space="preserve">El diseño del Sync Service fue construido específicamente sobre las condiciones reales del entorno de Munso. Las siguientes restricciones son el punto de partida de todas las decisiones técnicas: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4060"/>
      </w:tblGrid>
      <w:tr>
        <w:trPr>
          <w:tblHeader/>
        </w:trPr>
        <w:tc>
          <w:tcPr>
            <w:tcW w:type="dxa" w:w="24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Restricción</w:t>
            </w:r>
          </w:p>
        </w:tc>
        <w:tc>
          <w:tcPr>
            <w:tcW w:type="dxa" w:w="20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Contexto</w:t>
            </w:r>
          </w:p>
        </w:tc>
        <w:tc>
          <w:tcPr>
            <w:tcW w:type="dxa" w:w="9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Impacto</w:t>
            </w:r>
          </w:p>
        </w:tc>
        <w:tc>
          <w:tcPr>
            <w:tcW w:type="dxa" w:w="40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Decisión técnica tomada</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Windows Server 2012</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S.O. del servidor Softland</w:t>
            </w:r>
          </w:p>
        </w:tc>
        <w:tc>
          <w:tcPr>
            <w:tcW w:type="dxa" w:w="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Alta</w:t>
            </w:r>
          </w:p>
        </w:tc>
        <w:tc>
          <w:tcPr>
            <w:tcW w:type="dxa" w:w="40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El Sync Service se empaqueta como .exe independiente (sin requerir Node.js instalado). Compatible con Windows Server 2008+.</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SQL Server 2012</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Motor de base de datos</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Alta</w:t>
            </w:r>
          </w:p>
        </w:tc>
        <w:tc>
          <w:tcPr>
            <w:tcW w:type="dxa" w:w="40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 soporta TLS moderno por defecto. El driver de conexión se configura con encrypt: false y trustServerCertificate: true. Conexión únicamente por localhost.</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Sin proxy corporativo</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Conectividad a internet</w:t>
            </w:r>
          </w:p>
        </w:tc>
        <w:tc>
          <w:tcPr>
            <w:tcW w:type="dxa" w:w="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Baja</w:t>
            </w:r>
          </w:p>
        </w:tc>
        <w:tc>
          <w:tcPr>
            <w:tcW w:type="dxa" w:w="40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El Sync Service puede conectar directamente a Supabase sin configuración adicional de red.</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Backup 6pm–9pm</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Ventana de backup SQL Server</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Alta</w:t>
            </w:r>
          </w:p>
        </w:tc>
        <w:tc>
          <w:tcPr>
            <w:tcW w:type="dxa" w:w="40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La sincronización se programa después de las 9:30pm para evitar locks en tablas durante el proceso de backup.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~400 tx/mes</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Volumen de transacciones</w:t>
            </w:r>
          </w:p>
        </w:tc>
        <w:tc>
          <w:tcPr>
            <w:tcW w:type="dxa" w:w="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Baja</w:t>
            </w:r>
          </w:p>
        </w:tc>
        <w:tc>
          <w:tcPr>
            <w:tcW w:type="dxa" w:w="40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Volumen muy manejable. Sincronización incremental simple, sin colas complejas. Una sola ejecución nocturna es suficiente.</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Softland y SQL: mismo servidor</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Topología de red</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Media</w:t>
            </w:r>
          </w:p>
        </w:tc>
        <w:tc>
          <w:tcPr>
            <w:tcW w:type="dxa" w:w="40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Conexión por localhost — la opción más rápida y segura. El tráfico nunca sale de la máquina.</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124" w:sz="1"/>
              <w:left w:val="single" w:color="F4A124" w:sz="12"/>
              <w:bottom w:val="single" w:color="F4A124" w:sz="1"/>
              <w:right w:val="single" w:color="F4A124" w:sz="1"/>
            </w:tcBorders>
            <w:shd w:fill="FEF3E2" w:val="clear"/>
            <w:tcMar>
              <w:top w:type="dxa" w:w="130"/>
              <w:left w:type="dxa" w:w="160"/>
              <w:bottom w:type="dxa" w:w="130"/>
              <w:right w:type="dxa" w:w="160"/>
            </w:tcMar>
          </w:tcPr>
          <w:p>
            <w:pPr>
              <w:spacing w:line="330"/>
            </w:pPr>
            <w:r>
              <w:rPr>
                <w:rFonts w:ascii="Arial" w:cs="Arial" w:eastAsia="Arial" w:hAnsi="Arial"/>
                <w:b/>
                <w:bCs/>
                <w:color w:val="1A2B4A"/>
                <w:sz w:val="21"/>
                <w:szCs w:val="21"/>
              </w:rPr>
              <w:t xml:space="preserve">Nota para el equipo de IT: </w:t>
            </w:r>
            <w:r>
              <w:rPr>
                <w:rFonts w:ascii="Arial" w:cs="Arial" w:eastAsia="Arial" w:hAnsi="Arial"/>
                <w:color w:val="1A1A1A"/>
                <w:sz w:val="21"/>
                <w:szCs w:val="21"/>
              </w:rPr>
              <w:t xml:space="preserve">Las versiones de Windows Server 2012 y SQL Server 2012 ya no reciben actualizaciones de seguridad de Microsoft desde octubre 2023. Si bien el Sync Service puede operar correctamente en este entorno, se recomienda como plan a mediano plazo evaluar la actualización del servidor o migración a una versión más reciente de SQL Server.</w:t>
            </w:r>
          </w:p>
        </w:tc>
      </w:tr>
    </w:tbl>
    <w:p>
      <w:pPr>
        <w:spacing w:after="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4. Diseño del Sync Service</w:t>
            </w:r>
          </w:p>
        </w:tc>
      </w:tr>
    </w:tbl>
    <w:p>
      <w:pPr>
        <w:spacing w:after="12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4.1 Método de Conexión a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Parámetro</w:t>
            </w:r>
          </w:p>
        </w:tc>
        <w:tc>
          <w:tcPr>
            <w:tcW w:type="dxa" w:w="61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Valor / Descripción</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Host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localhost (127.0.0.1) — misma máquina, sin tráfico de red</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Puerto</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1433 (puerto estándar SQL Server)</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Autenticación</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SQL Server Authentication — usuario dedicado de solo lectura</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Nombre de BD</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Softland</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Encrypt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false — SQL Server 2012 no soporta TLS moderno</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TrustServerCert</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true — requerido para SQL Server 2012 sin certificado moderno</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Driver</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mssql (Node.js) v10+ con modo de compatibilidad SQL 2012</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Timeout</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30 segundos por query, 3 reintentos automáticos</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4.2 Usuario de Base de Datos (Solo Lectura)</w:t>
      </w:r>
    </w:p>
    <w:p>
      <w:pPr>
        <w:spacing w:after="120" w:line="340"/>
      </w:pPr>
      <w:r>
        <w:rPr>
          <w:rFonts w:ascii="Arial" w:cs="Arial" w:eastAsia="Arial" w:hAnsi="Arial"/>
          <w:sz w:val="22"/>
          <w:szCs w:val="22"/>
        </w:rPr>
        <w:t xml:space="preserve">Se debe crear un usuario dedicado en SQL Server con permisos mínimos. Este usuario nunca podrá escribir, eliminar ni modificar datos. Esto garantiza que incluso en el caso hipotético de una credencial comprometida, no sea posible alterar la información del ERP.</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E1E2E" w:val="clear"/>
            <w:tcMar>
              <w:top w:type="dxa" w:w="160"/>
              <w:left w:type="dxa" w:w="240"/>
              <w:bottom w:type="dxa" w:w="160"/>
              <w:right w:type="dxa" w:w="240"/>
            </w:tcMar>
          </w:tcPr>
          <w:p>
            <w:r>
              <w:rPr>
                <w:rFonts w:ascii="Courier New" w:cs="Courier New" w:eastAsia="Courier New" w:hAnsi="Courier New"/>
                <w:color w:val="6A9955"/>
                <w:sz w:val="18"/>
                <w:szCs w:val="18"/>
              </w:rPr>
              <w:t xml:space="preserve">-- Script SQL para crear usuario de solo lectura</w:t>
            </w:r>
          </w:p>
          <w:p>
            <w:r>
              <w:rPr>
                <w:rFonts w:ascii="Courier New" w:cs="Courier New" w:eastAsia="Courier New" w:hAnsi="Courier New"/>
                <w:color w:val="6A9955"/>
                <w:sz w:val="18"/>
                <w:szCs w:val="18"/>
              </w:rPr>
              <w:t xml:space="preserve">-- Ejecutar en SQL Server Management Studio como administrador</w:t>
            </w:r>
          </w:p>
          <w:p>
            <w:pPr>
              <w:spacing w:after="40"/>
            </w:pPr>
            <w:r>
              <w:rPr>
                <w:rFonts w:ascii="Arial" w:cs="Arial" w:eastAsia="Arial" w:hAnsi="Arial"/>
              </w:rPr>
              <w:t xml:space="preserve"/>
            </w:r>
          </w:p>
          <w:p>
            <w:r>
              <w:rPr>
                <w:rFonts w:ascii="Courier New" w:cs="Courier New" w:eastAsia="Courier New" w:hAnsi="Courier New"/>
                <w:color w:val="4EC9B0"/>
                <w:sz w:val="18"/>
                <w:szCs w:val="18"/>
              </w:rPr>
              <w:t xml:space="preserve">USE [Softland];</w:t>
            </w:r>
          </w:p>
          <w:p>
            <w:pPr>
              <w:spacing w:after="20"/>
            </w:pPr>
            <w:r>
              <w:rPr>
                <w:rFonts w:ascii="Arial" w:cs="Arial" w:eastAsia="Arial" w:hAnsi="Arial"/>
              </w:rPr>
              <w:t xml:space="preserve"/>
            </w:r>
          </w:p>
          <w:p>
            <w:r>
              <w:rPr>
                <w:rFonts w:ascii="Courier New" w:cs="Courier New" w:eastAsia="Courier New" w:hAnsi="Courier New"/>
                <w:color w:val="6A9955"/>
                <w:sz w:val="18"/>
                <w:szCs w:val="18"/>
              </w:rPr>
              <w:t xml:space="preserve">-- 1. Crear login a nivel servidor</w:t>
            </w:r>
          </w:p>
          <w:p>
            <w:r>
              <w:rPr>
                <w:rFonts w:ascii="Courier New" w:cs="Courier New" w:eastAsia="Courier New" w:hAnsi="Courier New"/>
                <w:color w:val="CE9178"/>
                <w:sz w:val="18"/>
                <w:szCs w:val="18"/>
              </w:rPr>
              <w:t xml:space="preserve">CREATE LOGIN [aios_sync_reader]</w:t>
            </w:r>
          </w:p>
          <w:p>
            <w:r>
              <w:rPr>
                <w:rFonts w:ascii="Courier New" w:cs="Courier New" w:eastAsia="Courier New" w:hAnsi="Courier New"/>
                <w:color w:val="D4D4D4"/>
                <w:sz w:val="18"/>
                <w:szCs w:val="18"/>
              </w:rPr>
              <w:t xml:space="preserve">    WITH PASSWORD = 'SU_PASSWORD_SEGURO_AQUI';</w:t>
            </w:r>
          </w:p>
          <w:p>
            <w:pPr>
              <w:spacing w:after="20"/>
            </w:pPr>
            <w:r>
              <w:rPr>
                <w:rFonts w:ascii="Arial" w:cs="Arial" w:eastAsia="Arial" w:hAnsi="Arial"/>
              </w:rPr>
              <w:t xml:space="preserve"/>
            </w:r>
          </w:p>
          <w:p>
            <w:r>
              <w:rPr>
                <w:rFonts w:ascii="Courier New" w:cs="Courier New" w:eastAsia="Courier New" w:hAnsi="Courier New"/>
                <w:color w:val="6A9955"/>
                <w:sz w:val="18"/>
                <w:szCs w:val="18"/>
              </w:rPr>
              <w:t xml:space="preserve">-- 2. Crear usuario en la base de datos Softland</w:t>
            </w:r>
          </w:p>
          <w:p>
            <w:r>
              <w:rPr>
                <w:rFonts w:ascii="Courier New" w:cs="Courier New" w:eastAsia="Courier New" w:hAnsi="Courier New"/>
                <w:color w:val="CE9178"/>
                <w:sz w:val="18"/>
                <w:szCs w:val="18"/>
              </w:rPr>
              <w:t xml:space="preserve">CREATE USER [aios_sync_reader]</w:t>
            </w:r>
          </w:p>
          <w:p>
            <w:r>
              <w:rPr>
                <w:rFonts w:ascii="Courier New" w:cs="Courier New" w:eastAsia="Courier New" w:hAnsi="Courier New"/>
                <w:color w:val="D4D4D4"/>
                <w:sz w:val="18"/>
                <w:szCs w:val="18"/>
              </w:rPr>
              <w:t xml:space="preserve">    FOR LOGIN [aios_sync_reader];</w:t>
            </w:r>
          </w:p>
          <w:p>
            <w:pPr>
              <w:spacing w:after="20"/>
            </w:pPr>
            <w:r>
              <w:rPr>
                <w:rFonts w:ascii="Arial" w:cs="Arial" w:eastAsia="Arial" w:hAnsi="Arial"/>
              </w:rPr>
              <w:t xml:space="preserve"/>
            </w:r>
          </w:p>
          <w:p>
            <w:r>
              <w:rPr>
                <w:rFonts w:ascii="Courier New" w:cs="Courier New" w:eastAsia="Courier New" w:hAnsi="Courier New"/>
                <w:color w:val="6A9955"/>
                <w:sz w:val="18"/>
                <w:szCs w:val="18"/>
              </w:rPr>
              <w:t xml:space="preserve">-- 3. Otorgar solo lectura en las tablas CxC</w:t>
            </w:r>
          </w:p>
          <w:p>
            <w:r>
              <w:rPr>
                <w:rFonts w:ascii="Courier New" w:cs="Courier New" w:eastAsia="Courier New" w:hAnsi="Courier New"/>
                <w:color w:val="4EC9B0"/>
                <w:sz w:val="18"/>
                <w:szCs w:val="18"/>
              </w:rPr>
              <w:t xml:space="preserve">GRANT SELECT ON SCHEMA::dbo TO [aios_sync_reader];</w:t>
            </w:r>
          </w:p>
          <w:p>
            <w:pPr>
              <w:spacing w:after="20"/>
            </w:pPr>
            <w:r>
              <w:rPr>
                <w:rFonts w:ascii="Arial" w:cs="Arial" w:eastAsia="Arial" w:hAnsi="Arial"/>
              </w:rPr>
              <w:t xml:space="preserve"/>
            </w:r>
          </w:p>
          <w:p>
            <w:r>
              <w:rPr>
                <w:rFonts w:ascii="Courier New" w:cs="Courier New" w:eastAsia="Courier New" w:hAnsi="Courier New"/>
                <w:color w:val="6A9955"/>
                <w:sz w:val="18"/>
                <w:szCs w:val="18"/>
              </w:rPr>
              <w:t xml:space="preserve">-- 4. Verificar permisos (correr como verificacion)</w:t>
            </w:r>
          </w:p>
          <w:p>
            <w:r>
              <w:rPr>
                <w:rFonts w:ascii="Courier New" w:cs="Courier New" w:eastAsia="Courier New" w:hAnsi="Courier New"/>
                <w:color w:val="9CDCFE"/>
                <w:sz w:val="18"/>
                <w:szCs w:val="18"/>
              </w:rPr>
              <w:t xml:space="preserve">EXECUTE AS USER = 'aios_sync_reader';</w:t>
            </w:r>
          </w:p>
          <w:p>
            <w:r>
              <w:rPr>
                <w:rFonts w:ascii="Courier New" w:cs="Courier New" w:eastAsia="Courier New" w:hAnsi="Courier New"/>
                <w:color w:val="9CDCFE"/>
                <w:sz w:val="18"/>
                <w:szCs w:val="18"/>
              </w:rPr>
              <w:t xml:space="preserve">SELECT TOP 5 * FROM dbo.[nombre_tabla_facturas];</w:t>
            </w:r>
          </w:p>
          <w:p>
            <w:r>
              <w:rPr>
                <w:rFonts w:ascii="Courier New" w:cs="Courier New" w:eastAsia="Courier New" w:hAnsi="Courier New"/>
                <w:color w:val="9CDCFE"/>
                <w:sz w:val="18"/>
                <w:szCs w:val="18"/>
              </w:rPr>
              <w:t xml:space="preserve">REVERT;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C6" w:sz="1"/>
              <w:left w:val="single" w:color="00A8C6" w:sz="12"/>
              <w:bottom w:val="single" w:color="00A8C6" w:sz="1"/>
              <w:right w:val="single" w:color="00A8C6" w:sz="1"/>
            </w:tcBorders>
            <w:shd w:fill="E0F6FB" w:val="clear"/>
            <w:tcMar>
              <w:top w:type="dxa" w:w="130"/>
              <w:left w:type="dxa" w:w="160"/>
              <w:bottom w:type="dxa" w:w="130"/>
              <w:right w:type="dxa" w:w="160"/>
            </w:tcMar>
          </w:tcPr>
          <w:p>
            <w:pPr>
              <w:spacing w:line="320"/>
            </w:pPr>
            <w:r>
              <w:rPr>
                <w:rFonts w:ascii="Arial" w:cs="Arial" w:eastAsia="Arial" w:hAnsi="Arial"/>
                <w:color w:val="1A1A1A"/>
                <w:sz w:val="22"/>
                <w:szCs w:val="22"/>
              </w:rPr>
              <w:t xml:space="preserve">La contraseña del usuario aios_sync_reader será generada por NexAI y entregada de forma segura a Kenneth Cubero. Se almacenará cifrada dentro del Sync Service, nunca en texto plano.</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4.3 Ventana de Sincronización</w:t>
      </w:r>
    </w:p>
    <w:p>
      <w:pPr>
        <w:spacing w:after="120" w:line="340"/>
      </w:pPr>
      <w:r>
        <w:rPr>
          <w:rFonts w:ascii="Arial" w:cs="Arial" w:eastAsia="Arial" w:hAnsi="Arial"/>
          <w:sz w:val="22"/>
          <w:szCs w:val="22"/>
        </w:rPr>
        <w:t xml:space="preserve">El Sync Service se ejecuta automáticamente en un horario nocturno, cuando el sistema tiene menor carga y los backups ya han finalizado:</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Hora</w:t>
            </w:r>
          </w:p>
        </w:tc>
        <w:tc>
          <w:tcPr>
            <w:tcW w:type="dxa" w:w="20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Estado Softland</w:t>
            </w:r>
          </w:p>
        </w:tc>
        <w:tc>
          <w:tcPr>
            <w:tcW w:type="dxa" w:w="20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Estado Backup</w:t>
            </w:r>
          </w:p>
        </w:tc>
        <w:tc>
          <w:tcPr>
            <w:tcW w:type="dxa" w:w="35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Acción del Sync Service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20"/>
                <w:szCs w:val="20"/>
              </w:rPr>
              <w:t xml:space="preserve">6:00pm – 9:00pm</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20"/>
                <w:szCs w:val="20"/>
              </w:rPr>
              <w:t xml:space="preserve">Operación normal</w:t>
            </w:r>
          </w:p>
        </w:tc>
        <w:tc>
          <w:tcPr>
            <w:tcW w:type="dxa" w:w="2000"/>
            <w:tcBorders>
              <w:top w:val="single" w:color="D0D0D0" w:sz="1"/>
              <w:left w:val="single" w:color="D0D0D0" w:sz="1"/>
              <w:bottom w:val="single" w:color="D0D0D0" w:sz="1"/>
              <w:right w:val="single" w:color="D0D0D0" w:sz="1"/>
            </w:tcBorders>
            <w:shd w:fill="FDECEA" w:val="clear"/>
            <w:tcMar>
              <w:top w:type="dxa" w:w="100"/>
              <w:left w:type="dxa" w:w="140"/>
              <w:bottom w:type="dxa" w:w="100"/>
              <w:right w:type="dxa" w:w="140"/>
            </w:tcMar>
          </w:tcPr>
          <w:p>
            <w:r>
              <w:rPr>
                <w:rFonts w:ascii="Arial" w:cs="Arial" w:eastAsia="Arial" w:hAnsi="Arial"/>
                <w:b/>
                <w:bCs/>
                <w:color w:val="C0392B"/>
                <w:sz w:val="20"/>
                <w:szCs w:val="20"/>
              </w:rPr>
              <w:t xml:space="preserve">⚠ Backup activo</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20"/>
                <w:szCs w:val="20"/>
              </w:rPr>
              <w:t xml:space="preserve">Inactivo — evita locks en tablas</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20"/>
                <w:szCs w:val="20"/>
              </w:rPr>
              <w:t xml:space="preserve">9:00pm – 9:30pm</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20"/>
                <w:szCs w:val="20"/>
              </w:rPr>
              <w:t xml:space="preserve">Baja actividad</w:t>
            </w:r>
          </w:p>
        </w:tc>
        <w:tc>
          <w:tcPr>
            <w:tcW w:type="dxa" w:w="2000"/>
            <w:tcBorders>
              <w:top w:val="single" w:color="D0D0D0" w:sz="1"/>
              <w:left w:val="single" w:color="D0D0D0" w:sz="1"/>
              <w:bottom w:val="single" w:color="D0D0D0" w:sz="1"/>
              <w:right w:val="single" w:color="D0D0D0" w:sz="1"/>
            </w:tcBorders>
            <w:shd w:fill="E6F4ED" w:val="clear"/>
            <w:tcMar>
              <w:top w:type="dxa" w:w="100"/>
              <w:left w:type="dxa" w:w="140"/>
              <w:bottom w:type="dxa" w:w="100"/>
              <w:right w:type="dxa" w:w="140"/>
            </w:tcMar>
          </w:tcPr>
          <w:p>
            <w:r>
              <w:rPr>
                <w:rFonts w:ascii="Arial" w:cs="Arial" w:eastAsia="Arial" w:hAnsi="Arial"/>
                <w:b/>
                <w:bCs/>
                <w:color w:val="2E8B57"/>
                <w:sz w:val="20"/>
                <w:szCs w:val="20"/>
              </w:rPr>
              <w:t xml:space="preserve">✓ Backup finalizado</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20"/>
                <w:szCs w:val="20"/>
              </w:rPr>
              <w:t xml:space="preserve">Buffer de seguridad</w:t>
            </w:r>
          </w:p>
        </w:tc>
      </w:tr>
      <w:tr>
        <w:tc>
          <w:tcPr>
            <w:tcW w:type="dxa" w:w="1800"/>
            <w:tcBorders>
              <w:top w:val="single" w:color="D0D0D0" w:sz="1"/>
              <w:left w:val="single" w:color="D0D0D0" w:sz="1"/>
              <w:bottom w:val="single" w:color="D0D0D0" w:sz="1"/>
              <w:right w:val="single" w:color="D0D0D0" w:sz="1"/>
            </w:tcBorders>
            <w:shd w:fill="E6F4ED" w:val="clear"/>
            <w:tcMar>
              <w:top w:type="dxa" w:w="100"/>
              <w:left w:type="dxa" w:w="140"/>
              <w:bottom w:type="dxa" w:w="100"/>
              <w:right w:type="dxa" w:w="140"/>
            </w:tcMar>
          </w:tcPr>
          <w:p>
            <w:r>
              <w:rPr>
                <w:rFonts w:ascii="Arial" w:cs="Arial" w:eastAsia="Arial" w:hAnsi="Arial"/>
                <w:b/>
                <w:bCs/>
                <w:color w:val="2E8B57"/>
                <w:sz w:val="20"/>
                <w:szCs w:val="20"/>
              </w:rPr>
              <w:t xml:space="preserve">9:30pm</w:t>
            </w:r>
          </w:p>
        </w:tc>
        <w:tc>
          <w:tcPr>
            <w:tcW w:type="dxa" w:w="2000"/>
            <w:tcBorders>
              <w:top w:val="single" w:color="D0D0D0" w:sz="1"/>
              <w:left w:val="single" w:color="D0D0D0" w:sz="1"/>
              <w:bottom w:val="single" w:color="D0D0D0" w:sz="1"/>
              <w:right w:val="single" w:color="D0D0D0" w:sz="1"/>
            </w:tcBorders>
            <w:shd w:fill="E6F4ED" w:val="clear"/>
            <w:tcMar>
              <w:top w:type="dxa" w:w="100"/>
              <w:left w:type="dxa" w:w="140"/>
              <w:bottom w:type="dxa" w:w="100"/>
              <w:right w:type="dxa" w:w="140"/>
            </w:tcMar>
          </w:tcPr>
          <w:p>
            <w:r>
              <w:rPr>
                <w:rFonts w:ascii="Arial" w:cs="Arial" w:eastAsia="Arial" w:hAnsi="Arial"/>
                <w:sz w:val="20"/>
                <w:szCs w:val="20"/>
              </w:rPr>
              <w:t xml:space="preserve">Mínima actividad</w:t>
            </w:r>
          </w:p>
        </w:tc>
        <w:tc>
          <w:tcPr>
            <w:tcW w:type="dxa" w:w="2000"/>
            <w:tcBorders>
              <w:top w:val="single" w:color="D0D0D0" w:sz="1"/>
              <w:left w:val="single" w:color="D0D0D0" w:sz="1"/>
              <w:bottom w:val="single" w:color="D0D0D0" w:sz="1"/>
              <w:right w:val="single" w:color="D0D0D0" w:sz="1"/>
            </w:tcBorders>
            <w:shd w:fill="E6F4ED" w:val="clear"/>
            <w:tcMar>
              <w:top w:type="dxa" w:w="100"/>
              <w:left w:type="dxa" w:w="140"/>
              <w:bottom w:type="dxa" w:w="100"/>
              <w:right w:type="dxa" w:w="140"/>
            </w:tcMar>
          </w:tcPr>
          <w:p>
            <w:r>
              <w:rPr>
                <w:rFonts w:ascii="Arial" w:cs="Arial" w:eastAsia="Arial" w:hAnsi="Arial"/>
                <w:color w:val="2E8B57"/>
                <w:sz w:val="20"/>
                <w:szCs w:val="20"/>
              </w:rPr>
              <w:t xml:space="preserve">✓ Completado</w:t>
            </w:r>
          </w:p>
        </w:tc>
        <w:tc>
          <w:tcPr>
            <w:tcW w:type="dxa" w:w="3560"/>
            <w:tcBorders>
              <w:top w:val="single" w:color="D0D0D0" w:sz="1"/>
              <w:left w:val="single" w:color="D0D0D0" w:sz="1"/>
              <w:bottom w:val="single" w:color="D0D0D0" w:sz="1"/>
              <w:right w:val="single" w:color="D0D0D0" w:sz="1"/>
            </w:tcBorders>
            <w:shd w:fill="E6F4ED" w:val="clear"/>
            <w:tcMar>
              <w:top w:type="dxa" w:w="100"/>
              <w:left w:type="dxa" w:w="140"/>
              <w:bottom w:type="dxa" w:w="100"/>
              <w:right w:type="dxa" w:w="140"/>
            </w:tcMar>
          </w:tcPr>
          <w:p>
            <w:r>
              <w:rPr>
                <w:rFonts w:ascii="Arial" w:cs="Arial" w:eastAsia="Arial" w:hAnsi="Arial"/>
                <w:b/>
                <w:bCs/>
                <w:color w:val="2E8B57"/>
                <w:sz w:val="20"/>
                <w:szCs w:val="20"/>
              </w:rPr>
              <w:t xml:space="preserve">▶ INICIO DE SINCRONIZACIÓN</w:t>
            </w:r>
          </w:p>
        </w:tc>
      </w:tr>
    </w:tbl>
    <w:p>
      <w:pPr>
        <w:spacing w:after="120"/>
      </w:pPr>
      <w:r>
        <w:rPr>
          <w:rFonts w:ascii="Arial" w:cs="Arial" w:eastAsia="Arial" w:hAnsi="Arial"/>
        </w:rPr>
        <w:t xml:space="preserve"/>
      </w:r>
    </w:p>
    <w:p>
      <w:pPr>
        <w:spacing w:line="340"/>
      </w:pPr>
      <w:r>
        <w:rPr>
          <w:rFonts w:ascii="Arial" w:cs="Arial" w:eastAsia="Arial" w:hAnsi="Arial"/>
          <w:sz w:val="22"/>
          <w:szCs w:val="22"/>
        </w:rPr>
        <w:t xml:space="preserve">Duración estimada de la sincronización: </w:t>
      </w:r>
      <w:r>
        <w:rPr>
          <w:rFonts w:ascii="Arial" w:cs="Arial" w:eastAsia="Arial" w:hAnsi="Arial"/>
          <w:b/>
          <w:bCs/>
          <w:sz w:val="22"/>
          <w:szCs w:val="22"/>
        </w:rPr>
        <w:t xml:space="preserve">menos de 2 minutos</w:t>
      </w:r>
      <w:r>
        <w:rPr>
          <w:rFonts w:ascii="Arial" w:cs="Arial" w:eastAsia="Arial" w:hAnsi="Arial"/>
          <w:sz w:val="22"/>
          <w:szCs w:val="22"/>
        </w:rPr>
        <w:t xml:space="preserve"> para el volumen actual de Munso (~400 tx/mes). El servicio registra un log de cada ejecución con timestamp, registros procesados y estado de éxito/error.</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4.4 Estrategia de Sincronización Incremental</w:t>
      </w:r>
    </w:p>
    <w:p>
      <w:pPr>
        <w:spacing w:after="120" w:line="340"/>
      </w:pPr>
      <w:r>
        <w:rPr>
          <w:rFonts w:ascii="Arial" w:cs="Arial" w:eastAsia="Arial" w:hAnsi="Arial"/>
          <w:sz w:val="22"/>
          <w:szCs w:val="22"/>
        </w:rPr>
        <w:t xml:space="preserve">Para minimizar el impacto en SQL Server y optimizar el ancho de banda, el Sync Service usa sincronización incremental: en cada ejecución solo transfiere registros nuevos o modificados desde la última sincronización exitosa.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Escenario</w:t>
            </w:r>
          </w:p>
        </w:tc>
        <w:tc>
          <w:tcPr>
            <w:tcW w:type="dxa" w:w="65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Comportamiento</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Primera ejecución (carga inicial)</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Sincroniza el histórico completo de facturas y clientes CxC. Se programa manualmente con Kenneth en horario acordado.</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Ejecuciones nocturnas (operación normal)</w:t>
            </w:r>
          </w:p>
        </w:tc>
        <w:tc>
          <w:tcPr>
            <w:tcW w:type="dxa" w:w="6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Sincroniza solo registros creados o modificados desde la última ejecución exitosa. Tiempo: &lt; 2 min.</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Recuperación ante falla</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Si una noche falla la sincronización (corte de internet, reinicio), el servicio retoma automáticamente desde el último checkpoint exitoso. Sin pérdida de datos.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Deduplicación</w:t>
            </w:r>
          </w:p>
        </w:tc>
        <w:tc>
          <w:tcPr>
            <w:tcW w:type="dxa" w:w="6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Supabase usa upsert (INSERT OR UPDATE) basado en el ID de Softland, garantizando que registros duplicados no generen inconsistencias.</w:t>
            </w:r>
          </w:p>
        </w:tc>
      </w:tr>
    </w:tbl>
    <w:p>
      <w:pPr>
        <w:spacing w:after="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5. Modelo de Seguridad</w:t>
            </w:r>
          </w:p>
        </w:tc>
      </w:tr>
    </w:tbl>
    <w:p>
      <w:pPr>
        <w:spacing w:after="12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5.1 Capas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5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Capa</w:t>
            </w:r>
          </w:p>
        </w:tc>
        <w:tc>
          <w:tcPr>
            <w:tcW w:type="dxa" w:w="63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Medida implementada</w:t>
            </w:r>
          </w:p>
        </w:tc>
      </w:tr>
      <w:tr>
        <w:tc>
          <w:tcPr>
            <w:tcW w:type="dxa" w:w="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1</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sz w:val="20"/>
                <w:szCs w:val="20"/>
              </w:rPr>
              <w:t xml:space="preserve">Acceso a DB</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20"/>
                <w:szCs w:val="20"/>
              </w:rPr>
              <w:t xml:space="preserve">Usuario SQL de solo lectura (aios_sync_reader). Sin permisos de escritura, actualización o eliminación en ninguna tabla.</w:t>
            </w:r>
          </w:p>
        </w:tc>
      </w:tr>
      <w:tr>
        <w:tc>
          <w:tcPr>
            <w:tcW w:type="dxa" w:w="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2</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sz w:val="20"/>
                <w:szCs w:val="20"/>
              </w:rPr>
              <w:t xml:space="preserve">Red</w:t>
            </w:r>
          </w:p>
        </w:tc>
        <w:tc>
          <w:tcPr>
            <w:tcW w:type="dxa" w:w="63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20"/>
                <w:szCs w:val="20"/>
              </w:rPr>
              <w:t xml:space="preserve">Conexión por localhost únicamente. El SQL Server no requiere abrir ningún puerto adicional al exterior.</w:t>
            </w:r>
          </w:p>
        </w:tc>
      </w:tr>
      <w:tr>
        <w:tc>
          <w:tcPr>
            <w:tcW w:type="dxa" w:w="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3</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sz w:val="20"/>
                <w:szCs w:val="20"/>
              </w:rPr>
              <w:t xml:space="preserve">Datos en tránsito</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20"/>
                <w:szCs w:val="20"/>
              </w:rPr>
              <w:t xml:space="preserve">Toda comunicación hacia Supabase usa HTTPS/TLS 1.2. Los datos viajan cifrados desde la red de Munso hasta la nube.</w:t>
            </w:r>
          </w:p>
        </w:tc>
      </w:tr>
      <w:tr>
        <w:tc>
          <w:tcPr>
            <w:tcW w:type="dxa" w:w="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4</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sz w:val="20"/>
                <w:szCs w:val="20"/>
              </w:rPr>
              <w:t xml:space="preserve">Credenciales</w:t>
            </w:r>
          </w:p>
        </w:tc>
        <w:tc>
          <w:tcPr>
            <w:tcW w:type="dxa" w:w="63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20"/>
                <w:szCs w:val="20"/>
              </w:rPr>
              <w:t xml:space="preserve">Las credenciales del usuario SQL y de Supabase se almacenan cifradas en el archivo de configuración del Sync Service. Nunca en texto plano.</w:t>
            </w:r>
          </w:p>
        </w:tc>
      </w:tr>
      <w:tr>
        <w:tc>
          <w:tcPr>
            <w:tcW w:type="dxa" w:w="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5</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sz w:val="20"/>
                <w:szCs w:val="20"/>
              </w:rPr>
              <w:t xml:space="preserve">Data minimization</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20"/>
                <w:szCs w:val="20"/>
              </w:rPr>
              <w:t xml:space="preserve">Solo se sincronizan los campos estrictamente necesarios para el agente: ID de factura, cliente, monto, estado, fecha. Datos sensibles completos (RUC, IBAN) no se transfieren.</w:t>
            </w:r>
          </w:p>
        </w:tc>
      </w:tr>
      <w:tr>
        <w:tc>
          <w:tcPr>
            <w:tcW w:type="dxa" w:w="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6</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sz w:val="20"/>
                <w:szCs w:val="20"/>
              </w:rPr>
              <w:t xml:space="preserve">Trazabilidad</w:t>
            </w:r>
          </w:p>
        </w:tc>
        <w:tc>
          <w:tcPr>
            <w:tcW w:type="dxa" w:w="63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20"/>
                <w:szCs w:val="20"/>
              </w:rPr>
              <w:t xml:space="preserve">Cada ejecución del Sync Service genera un log local con: timestamp, registros procesados, errores (si los hay) y checksum de validación.</w:t>
            </w:r>
          </w:p>
        </w:tc>
      </w:tr>
    </w:tbl>
    <w:p>
      <w:pPr>
        <w:spacing w:after="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6. Datos a Sincronizar desde Softland</w:t>
            </w:r>
          </w:p>
        </w:tc>
      </w:tr>
    </w:tbl>
    <w:p>
      <w:pPr>
        <w:spacing w:after="120"/>
      </w:pPr>
      <w:r>
        <w:rPr>
          <w:rFonts w:ascii="Arial" w:cs="Arial" w:eastAsia="Arial" w:hAnsi="Arial"/>
        </w:rPr>
        <w:t xml:space="preserve"/>
      </w:r>
    </w:p>
    <w:p>
      <w:pPr>
        <w:spacing w:after="120" w:line="340"/>
      </w:pPr>
      <w:r>
        <w:rPr>
          <w:rFonts w:ascii="Arial" w:cs="Arial" w:eastAsia="Arial" w:hAnsi="Arial"/>
          <w:sz w:val="22"/>
          <w:szCs w:val="22"/>
        </w:rPr>
        <w:t xml:space="preserve">Las tablas exactas del schema de Softland serán identificadas durante la </w:t>
      </w:r>
      <w:r>
        <w:rPr>
          <w:rFonts w:ascii="Arial" w:cs="Arial" w:eastAsia="Arial" w:hAnsi="Arial"/>
          <w:b/>
          <w:bCs/>
          <w:sz w:val="22"/>
          <w:szCs w:val="22"/>
        </w:rPr>
        <w:t xml:space="preserve">Fase 1 — Fundación Técnica</w:t>
      </w:r>
      <w:r>
        <w:rPr>
          <w:rFonts w:ascii="Arial" w:cs="Arial" w:eastAsia="Arial" w:hAnsi="Arial"/>
          <w:sz w:val="22"/>
          <w:szCs w:val="22"/>
        </w:rPr>
        <w:t xml:space="preserve"> (20 abril – 2 mayo 2026), con acceso directo a la base de datos en ambiente de prueba. A continuación se describen las entidades de negocio objetivo y los campos mínimos necesarios:</w:t>
      </w:r>
    </w:p>
    <w:p>
      <w:pPr>
        <w:spacing w:after="8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6.1 Facturas CxC (Entidad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900"/>
        <w:gridCol w:w="3460"/>
      </w:tblGrid>
      <w:tr>
        <w:trPr>
          <w:tblHeader/>
        </w:trPr>
        <w:tc>
          <w:tcPr>
            <w:tcW w:type="dxa" w:w="30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Campo de negocio</w:t>
            </w:r>
          </w:p>
        </w:tc>
        <w:tc>
          <w:tcPr>
            <w:tcW w:type="dxa" w:w="20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9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¿Requerido?</w:t>
            </w:r>
          </w:p>
        </w:tc>
        <w:tc>
          <w:tcPr>
            <w:tcW w:type="dxa" w:w="34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Notas</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ID / Número de factura</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Identificador único</w:t>
            </w:r>
          </w:p>
        </w:tc>
        <w:tc>
          <w:tcPr>
            <w:tcW w:type="dxa" w:w="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34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Clave primaria para deduplicación</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ID de cliente / cédula cliente</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Enlace con tabla de clientes</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34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Anonimizado: solo primeros/últimos dígitos</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Fecha de emisión</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Fecha de creación de la factura</w:t>
            </w:r>
          </w:p>
        </w:tc>
        <w:tc>
          <w:tcPr>
            <w:tcW w:type="dxa" w:w="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34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Fecha de vencimiento</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Fecha límite de pago</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34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Crítico para monitor SLA</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Monto total</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Valor de la factura en ₡</w:t>
            </w:r>
          </w:p>
        </w:tc>
        <w:tc>
          <w:tcPr>
            <w:tcW w:type="dxa" w:w="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34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Se transfiere como referencia, no como dato financiero completo</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Estado</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Pendiente / Pagada / Vencida / Parcial</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34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Canal</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Canal Moderno / Directo / etc.</w:t>
            </w:r>
          </w:p>
        </w:tc>
        <w:tc>
          <w:tcPr>
            <w:tcW w:type="dxa" w:w="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34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Filtro para el Agente Conciliador</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Número de nota de crédito</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Referencia a NC asociada</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w:t>
            </w:r>
          </w:p>
        </w:tc>
        <w:tc>
          <w:tcPr>
            <w:tcW w:type="dxa" w:w="34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Solo si existe</w:t>
            </w:r>
          </w:p>
        </w:tc>
      </w:tr>
    </w:tbl>
    <w:p>
      <w:pPr>
        <w:spacing w:after="12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6.2 Clientes CxC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500"/>
        <w:gridCol w:w="2900"/>
      </w:tblGrid>
      <w:tr>
        <w:trPr>
          <w:tblHeader/>
        </w:trPr>
        <w:tc>
          <w:tcPr>
            <w:tcW w:type="dxa" w:w="24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25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15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¿Requerido?</w:t>
            </w:r>
          </w:p>
        </w:tc>
        <w:tc>
          <w:tcPr>
            <w:tcW w:type="dxa" w:w="29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Notas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ID de cliente</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Identificador único en Softland</w:t>
            </w:r>
          </w:p>
        </w:tc>
        <w:tc>
          <w:tcPr>
            <w:tcW w:type="dxa" w:w="1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Clave primaria</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Nombre comercial</w:t>
            </w:r>
          </w:p>
        </w:tc>
        <w:tc>
          <w:tcPr>
            <w:tcW w:type="dxa" w:w="2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Nombre del cliente para display</w:t>
            </w:r>
          </w:p>
        </w:tc>
        <w:tc>
          <w:tcPr>
            <w:tcW w:type="dxa" w:w="1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Canal asignado</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Canal Moderno / Directo</w:t>
            </w:r>
          </w:p>
        </w:tc>
        <w:tc>
          <w:tcPr>
            <w:tcW w:type="dxa" w:w="1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Ejecutivo asignado</w:t>
            </w:r>
          </w:p>
        </w:tc>
        <w:tc>
          <w:tcPr>
            <w:tcW w:type="dxa" w:w="2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Responsable en CxC</w:t>
            </w:r>
          </w:p>
        </w:tc>
        <w:tc>
          <w:tcPr>
            <w:tcW w:type="dxa" w:w="1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Si está disponible</w:t>
            </w:r>
          </w:p>
        </w:tc>
      </w:tr>
    </w:tbl>
    <w:p>
      <w:pPr>
        <w:spacing w:after="12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6.3 Notas de Crédito (NC)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500"/>
        <w:gridCol w:w="2900"/>
      </w:tblGrid>
      <w:tr>
        <w:trPr>
          <w:tblHeader/>
        </w:trPr>
        <w:tc>
          <w:tcPr>
            <w:tcW w:type="dxa" w:w="24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25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15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¿Requerido?</w:t>
            </w:r>
          </w:p>
        </w:tc>
        <w:tc>
          <w:tcPr>
            <w:tcW w:type="dxa" w:w="29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Notas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ID de NC</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Identificador único</w:t>
            </w:r>
          </w:p>
        </w:tc>
        <w:tc>
          <w:tcPr>
            <w:tcW w:type="dxa" w:w="1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Factura de referencia</w:t>
            </w:r>
          </w:p>
        </w:tc>
        <w:tc>
          <w:tcPr>
            <w:tcW w:type="dxa" w:w="2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Factura a la que aplica</w:t>
            </w:r>
          </w:p>
        </w:tc>
        <w:tc>
          <w:tcPr>
            <w:tcW w:type="dxa" w:w="1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Foreign key a facturas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Monto NC</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Monto de la nota de crédito en ₡</w:t>
            </w:r>
          </w:p>
        </w:tc>
        <w:tc>
          <w:tcPr>
            <w:tcW w:type="dxa" w:w="1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Fecha de emisión</w:t>
            </w:r>
          </w:p>
        </w:tc>
        <w:tc>
          <w:tcPr>
            <w:tcW w:type="dxa" w:w="2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Cuándo se generó la NC</w:t>
            </w:r>
          </w:p>
        </w:tc>
        <w:tc>
          <w:tcPr>
            <w:tcW w:type="dxa" w:w="15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Estado</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Aplicada / Pendiente</w:t>
            </w:r>
          </w:p>
        </w:tc>
        <w:tc>
          <w:tcPr>
            <w:tcW w:type="dxa" w:w="1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Sí</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C6" w:sz="1"/>
              <w:left w:val="single" w:color="00A8C6" w:sz="12"/>
              <w:bottom w:val="single" w:color="00A8C6" w:sz="1"/>
              <w:right w:val="single" w:color="00A8C6" w:sz="1"/>
            </w:tcBorders>
            <w:shd w:fill="E0F6FB" w:val="clear"/>
            <w:tcMar>
              <w:top w:type="dxa" w:w="130"/>
              <w:left w:type="dxa" w:w="160"/>
              <w:bottom w:type="dxa" w:w="130"/>
              <w:right w:type="dxa" w:w="160"/>
            </w:tcMar>
          </w:tcPr>
          <w:p>
            <w:pPr>
              <w:spacing w:line="320"/>
            </w:pPr>
            <w:r>
              <w:rPr>
                <w:rFonts w:ascii="Arial" w:cs="Arial" w:eastAsia="Arial" w:hAnsi="Arial"/>
                <w:color w:val="1A1A1A"/>
                <w:sz w:val="22"/>
                <w:szCs w:val="22"/>
              </w:rPr>
              <w:t xml:space="preserve">Los nombres exactos de las tablas y columnas en SQL Server serán confirmados durante la sesión de exploración del schema con el equipo IT de Munso, programada para la semana del 20 de abril de 2026.</w:t>
            </w:r>
          </w:p>
        </w:tc>
      </w:tr>
    </w:tbl>
    <w:p>
      <w:pPr>
        <w:spacing w:after="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7. Requisitos para la Instalación</w:t>
            </w:r>
          </w:p>
        </w:tc>
      </w:tr>
    </w:tbl>
    <w:p>
      <w:pPr>
        <w:spacing w:after="12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7.1 Lo que NexAI necesita de Munso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Requisito</w:t>
            </w:r>
          </w:p>
        </w:tc>
        <w:tc>
          <w:tcPr>
            <w:tcW w:type="dxa" w:w="61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Detalle</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Usuario SQL de solo lectura</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Creado por IT usando el script de la Sección 4.2. Responsable: Kenneth Cubero.</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Nombre exacto de la instancia SQL</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Ej: SERVIDOR\SQLEXPRESS o solo SERVIDOR. Confirmación de IT.</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Acceso al servidor para instalación</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Sesión remota (RDP) o presencial con Kenneth para instalar el Sync Service como Windows Service.</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Ventana de instalación acordada</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Se recomienda durante la primera quincena de mayo 2026, fuera del horario de backup (antes de las 5pm o después de las 9:30pm).</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Acceso al ambiente de prueba de la BD</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Para exploración del schema de Softland (identificar tablas y columnas exactas). Puede ser una copia de la BD en otro servidor.</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1A2B4A"/>
          <w:sz w:val="28"/>
          <w:szCs w:val="28"/>
        </w:rPr>
        <w:t xml:space="preserve">7.2 Lo que NexAI entregará para la instalación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Entregable</w:t>
            </w:r>
          </w:p>
        </w:tc>
        <w:tc>
          <w:tcPr>
            <w:tcW w:type="dxa" w:w="61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Descripción</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Sync Service (.exe)</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Archivo ejecutable independiente, sin dependencias externas. Probado en Windows Server 2012+.</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Script SQL de creación de usuario</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Listo para ejecutar en SQL Server Management Studio (ver Sección 4.2).</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Archivo de configuración (.env cifrado)</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Credenciales de conexión a SQL Server y Supabase, cifradas con AES-256. No contiene texto plano.</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Script de instalación como Windows Service</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Instala el Sync Service como servicio de Windows que inicia automáticamente con el servidor.</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Guía de instalación paso a paso</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Documento técnico para el equipo IT con capturas de pantalla y comandos exactos.</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Guía de verificación y monitoreo</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Cómo revisar los logs, confirmar ejecuciones exitosas y qué hacer ante una alerta.</w:t>
            </w:r>
          </w:p>
        </w:tc>
      </w:tr>
    </w:tbl>
    <w:p>
      <w:pPr>
        <w:spacing w:after="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8. Plan de Implementación Técnica</w:t>
            </w:r>
          </w:p>
        </w:tc>
      </w:tr>
    </w:tbl>
    <w:p>
      <w:pPr>
        <w:spacing w:after="120"/>
      </w:pPr>
      <w:r>
        <w:rPr>
          <w:rFonts w:ascii="Arial" w:cs="Arial" w:eastAsia="Arial" w:hAnsi="Arial"/>
        </w:rPr>
        <w:t xml:space="preserve"/>
      </w:r>
    </w:p>
    <w:p>
      <w:pPr>
        <w:spacing w:after="120" w:line="340"/>
      </w:pPr>
      <w:r>
        <w:rPr>
          <w:rFonts w:ascii="Arial" w:cs="Arial" w:eastAsia="Arial" w:hAnsi="Arial"/>
          <w:sz w:val="22"/>
          <w:szCs w:val="22"/>
        </w:rPr>
        <w:t xml:space="preserve">La implementación del Sync Service sigue este orden de pasos, alineado con el cronograma general de la Fase 1:</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2760"/>
        <w:gridCol w:w="2400"/>
      </w:tblGrid>
      <w:tr>
        <w:tc>
          <w:tcPr>
            <w:tcW w:type="dxa" w:w="4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Actividad</w:t>
            </w:r>
          </w:p>
        </w:tc>
        <w:tc>
          <w:tcPr>
            <w:tcW w:type="dxa" w:w="20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Responsable</w:t>
            </w:r>
          </w:p>
        </w:tc>
        <w:tc>
          <w:tcPr>
            <w:tcW w:type="dxa" w:w="27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Entregable</w:t>
            </w:r>
          </w:p>
        </w:tc>
        <w:tc>
          <w:tcPr>
            <w:tcW w:type="dxa" w:w="24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Fecha objetivo</w:t>
            </w:r>
          </w:p>
        </w:tc>
      </w:tr>
      <w:tr>
        <w:tc>
          <w:tcPr>
            <w:tcW w:type="dxa" w:w="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1</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Exploración del schema Softland</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NexAI + IT Munso</w:t>
            </w:r>
          </w:p>
        </w:tc>
        <w:tc>
          <w:tcPr>
            <w:tcW w:type="dxa" w:w="2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Mapa de tablas y columnas CxC</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2B4A"/>
                <w:sz w:val="19"/>
                <w:szCs w:val="19"/>
              </w:rPr>
              <w:t xml:space="preserve">22–25 abr 2026</w:t>
            </w:r>
          </w:p>
        </w:tc>
      </w:tr>
      <w:tr>
        <w:tc>
          <w:tcPr>
            <w:tcW w:type="dxa" w:w="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2</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Creación usuario SQL solo lectura</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IT Munso (Kenneth)</w:t>
            </w:r>
          </w:p>
        </w:tc>
        <w:tc>
          <w:tcPr>
            <w:tcW w:type="dxa" w:w="2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Usuario aios_sync_reader activo</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color w:val="1A2B4A"/>
                <w:sz w:val="19"/>
                <w:szCs w:val="19"/>
              </w:rPr>
              <w:t xml:space="preserve">25 abr 2026</w:t>
            </w:r>
          </w:p>
        </w:tc>
      </w:tr>
      <w:tr>
        <w:tc>
          <w:tcPr>
            <w:tcW w:type="dxa" w:w="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3</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Desarrollo del Sync Service</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NexAI</w:t>
            </w:r>
          </w:p>
        </w:tc>
        <w:tc>
          <w:tcPr>
            <w:tcW w:type="dxa" w:w="2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Binario .exe + config</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2B4A"/>
                <w:sz w:val="19"/>
                <w:szCs w:val="19"/>
              </w:rPr>
              <w:t xml:space="preserve">25 abr – 9 may 2026</w:t>
            </w:r>
          </w:p>
        </w:tc>
      </w:tr>
      <w:tr>
        <w:tc>
          <w:tcPr>
            <w:tcW w:type="dxa" w:w="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4</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Pruebas en ambiente local NexAI</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NexAI</w:t>
            </w:r>
          </w:p>
        </w:tc>
        <w:tc>
          <w:tcPr>
            <w:tcW w:type="dxa" w:w="2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Log de pruebas exitoso</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color w:val="1A2B4A"/>
                <w:sz w:val="19"/>
                <w:szCs w:val="19"/>
              </w:rPr>
              <w:t xml:space="preserve">9–11 may 2026</w:t>
            </w:r>
          </w:p>
        </w:tc>
      </w:tr>
      <w:tr>
        <w:tc>
          <w:tcPr>
            <w:tcW w:type="dxa" w:w="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5</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Instalación en servidor Munso</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NexAI + IT Munso</w:t>
            </w:r>
          </w:p>
        </w:tc>
        <w:tc>
          <w:tcPr>
            <w:tcW w:type="dxa" w:w="2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Servicio instalado y corriendo</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2B4A"/>
                <w:sz w:val="19"/>
                <w:szCs w:val="19"/>
              </w:rPr>
              <w:t xml:space="preserve">13–16 may 2026</w:t>
            </w:r>
          </w:p>
        </w:tc>
      </w:tr>
      <w:tr>
        <w:tc>
          <w:tcPr>
            <w:tcW w:type="dxa" w:w="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6</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Sincronización inicial (histórico)</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NexAI + IT Munso</w:t>
            </w:r>
          </w:p>
        </w:tc>
        <w:tc>
          <w:tcPr>
            <w:tcW w:type="dxa" w:w="2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Datos históricos en Supabase</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color w:val="1A2B4A"/>
                <w:sz w:val="19"/>
                <w:szCs w:val="19"/>
              </w:rPr>
              <w:t xml:space="preserve">16 may 2026</w:t>
            </w:r>
          </w:p>
        </w:tc>
      </w:tr>
      <w:tr>
        <w:tc>
          <w:tcPr>
            <w:tcW w:type="dxa" w:w="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7</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Validación de datos en Supabase</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NexAI + CxC</w:t>
            </w:r>
          </w:p>
        </w:tc>
        <w:tc>
          <w:tcPr>
            <w:tcW w:type="dxa" w:w="2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Reporte de validación aprobado</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2B4A"/>
                <w:sz w:val="19"/>
                <w:szCs w:val="19"/>
              </w:rPr>
              <w:t xml:space="preserve">19–20 may 2026</w:t>
            </w:r>
          </w:p>
        </w:tc>
      </w:tr>
      <w:tr>
        <w:tc>
          <w:tcPr>
            <w:tcW w:type="dxa" w:w="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8</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Activación de sync nocturno automático</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NexAI</w:t>
            </w:r>
          </w:p>
        </w:tc>
        <w:tc>
          <w:tcPr>
            <w:tcW w:type="dxa" w:w="2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Scheduler configurado y activo</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color w:val="1A2B4A"/>
                <w:sz w:val="19"/>
                <w:szCs w:val="19"/>
              </w:rPr>
              <w:t xml:space="preserve">20 may 2026</w:t>
            </w:r>
          </w:p>
        </w:tc>
      </w:tr>
    </w:tbl>
    <w:p>
      <w:pPr>
        <w:spacing w:after="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9. Riesgos y Mitigaciones</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300"/>
        <w:gridCol w:w="3560"/>
      </w:tblGrid>
      <w:tr>
        <w:tc>
          <w:tcPr>
            <w:tcW w:type="dxa" w:w="26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Riesgo</w:t>
            </w:r>
          </w:p>
        </w:tc>
        <w:tc>
          <w:tcPr>
            <w:tcW w:type="dxa" w:w="9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Impacto</w:t>
            </w:r>
          </w:p>
        </w:tc>
        <w:tc>
          <w:tcPr>
            <w:tcW w:type="dxa" w:w="230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Probabilidad</w:t>
            </w:r>
          </w:p>
        </w:tc>
        <w:tc>
          <w:tcPr>
            <w:tcW w:type="dxa" w:w="3560"/>
            <w:tcBorders>
              <w:top w:val="single" w:color="00A8C6" w:sz="1"/>
              <w:left w:val="single" w:color="00A8C6" w:sz="1"/>
              <w:bottom w:val="single" w:color="00A8C6" w:sz="1"/>
              <w:right w:val="single" w:color="00A8C6" w:sz="1"/>
            </w:tcBorders>
            <w:shd w:fill="00A8C6" w:val="clear"/>
            <w:tcMar>
              <w:top w:type="dxa" w:w="100"/>
              <w:left w:type="dxa" w:w="140"/>
              <w:bottom w:type="dxa" w:w="100"/>
              <w:right w:type="dxa" w:w="140"/>
            </w:tcMar>
          </w:tcPr>
          <w:p>
            <w:r>
              <w:rPr>
                <w:rFonts w:ascii="Arial" w:cs="Arial" w:eastAsia="Arial" w:hAnsi="Arial"/>
                <w:b/>
                <w:bCs/>
                <w:color w:val="FFFFFF"/>
                <w:sz w:val="20"/>
                <w:szCs w:val="20"/>
              </w:rPr>
              <w:t xml:space="preserve">Mitigación</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Schema de Softland no documentado</w:t>
            </w:r>
          </w:p>
        </w:tc>
        <w:tc>
          <w:tcPr>
            <w:tcW w:type="dxa" w:w="900"/>
            <w:tcBorders>
              <w:top w:val="single" w:color="D0D0D0" w:sz="1"/>
              <w:left w:val="single" w:color="D0D0D0" w:sz="1"/>
              <w:bottom w:val="single" w:color="D0D0D0" w:sz="1"/>
              <w:right w:val="single" w:color="D0D0D0" w:sz="1"/>
            </w:tcBorders>
            <w:shd w:fill="FDECEA" w:val="clear"/>
            <w:tcMar>
              <w:top w:type="dxa" w:w="100"/>
              <w:left w:type="dxa" w:w="140"/>
              <w:bottom w:type="dxa" w:w="100"/>
              <w:right w:type="dxa" w:w="140"/>
            </w:tcMar>
          </w:tcPr>
          <w:p>
            <w:r>
              <w:rPr>
                <w:rFonts w:ascii="Arial" w:cs="Arial" w:eastAsia="Arial" w:hAnsi="Arial"/>
                <w:b/>
                <w:bCs/>
                <w:color w:val="C0392B"/>
                <w:sz w:val="20"/>
                <w:szCs w:val="20"/>
              </w:rPr>
              <w:t xml:space="preserve">Alto</w:t>
            </w:r>
          </w:p>
        </w:tc>
        <w:tc>
          <w:tcPr>
            <w:tcW w:type="dxa" w:w="23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Alta</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Sesión de exploración directa del schema (sem. 22 abr). Kenneth coordina acceso a ambiente de prueba.</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Demora en creación del usuario SQL</w:t>
            </w:r>
          </w:p>
        </w:tc>
        <w:tc>
          <w:tcPr>
            <w:tcW w:type="dxa" w:w="900"/>
            <w:tcBorders>
              <w:top w:val="single" w:color="D0D0D0" w:sz="1"/>
              <w:left w:val="single" w:color="D0D0D0" w:sz="1"/>
              <w:bottom w:val="single" w:color="D0D0D0" w:sz="1"/>
              <w:right w:val="single" w:color="D0D0D0" w:sz="1"/>
            </w:tcBorders>
            <w:shd w:fill="FDECEA" w:val="clear"/>
            <w:tcMar>
              <w:top w:type="dxa" w:w="100"/>
              <w:left w:type="dxa" w:w="140"/>
              <w:bottom w:type="dxa" w:w="100"/>
              <w:right w:type="dxa" w:w="140"/>
            </w:tcMar>
          </w:tcPr>
          <w:p>
            <w:r>
              <w:rPr>
                <w:rFonts w:ascii="Arial" w:cs="Arial" w:eastAsia="Arial" w:hAnsi="Arial"/>
                <w:b/>
                <w:bCs/>
                <w:color w:val="C0392B"/>
                <w:sz w:val="20"/>
                <w:szCs w:val="20"/>
              </w:rPr>
              <w:t xml:space="preserve">Alto</w:t>
            </w:r>
          </w:p>
        </w:tc>
        <w:tc>
          <w:tcPr>
            <w:tcW w:type="dxa" w:w="23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Baja</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Script SQL listo para ejecutar. NexAI puede asistir de forma remota en 30 min.</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Cortes de internet nocturnos</w:t>
            </w:r>
          </w:p>
        </w:tc>
        <w:tc>
          <w:tcPr>
            <w:tcW w:type="dxa" w:w="900"/>
            <w:tcBorders>
              <w:top w:val="single" w:color="D0D0D0" w:sz="1"/>
              <w:left w:val="single" w:color="D0D0D0" w:sz="1"/>
              <w:bottom w:val="single" w:color="D0D0D0" w:sz="1"/>
              <w:right w:val="single" w:color="D0D0D0" w:sz="1"/>
            </w:tcBorders>
            <w:shd w:fill="FEF3E2" w:val="clear"/>
            <w:tcMar>
              <w:top w:type="dxa" w:w="100"/>
              <w:left w:type="dxa" w:w="140"/>
              <w:bottom w:type="dxa" w:w="100"/>
              <w:right w:type="dxa" w:w="140"/>
            </w:tcMar>
          </w:tcPr>
          <w:p>
            <w:r>
              <w:rPr>
                <w:rFonts w:ascii="Arial" w:cs="Arial" w:eastAsia="Arial" w:hAnsi="Arial"/>
                <w:b/>
                <w:bCs/>
                <w:color w:val="C07000"/>
                <w:sz w:val="20"/>
                <w:szCs w:val="20"/>
              </w:rPr>
              <w:t xml:space="preserve">Medio</w:t>
            </w:r>
          </w:p>
        </w:tc>
        <w:tc>
          <w:tcPr>
            <w:tcW w:type="dxa" w:w="23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Baja</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Checkpoint local: el Sync Service retoma desde el último punto exitoso en la siguiente ejecución.</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Incompatibilidad de drivers con SQL 2012</w:t>
            </w:r>
          </w:p>
        </w:tc>
        <w:tc>
          <w:tcPr>
            <w:tcW w:type="dxa" w:w="900"/>
            <w:tcBorders>
              <w:top w:val="single" w:color="D0D0D0" w:sz="1"/>
              <w:left w:val="single" w:color="D0D0D0" w:sz="1"/>
              <w:bottom w:val="single" w:color="D0D0D0" w:sz="1"/>
              <w:right w:val="single" w:color="D0D0D0" w:sz="1"/>
            </w:tcBorders>
            <w:shd w:fill="FDECEA" w:val="clear"/>
            <w:tcMar>
              <w:top w:type="dxa" w:w="100"/>
              <w:left w:type="dxa" w:w="140"/>
              <w:bottom w:type="dxa" w:w="100"/>
              <w:right w:type="dxa" w:w="140"/>
            </w:tcMar>
          </w:tcPr>
          <w:p>
            <w:r>
              <w:rPr>
                <w:rFonts w:ascii="Arial" w:cs="Arial" w:eastAsia="Arial" w:hAnsi="Arial"/>
                <w:b/>
                <w:bCs/>
                <w:color w:val="C0392B"/>
                <w:sz w:val="20"/>
                <w:szCs w:val="20"/>
              </w:rPr>
              <w:t xml:space="preserve">Alto</w:t>
            </w:r>
          </w:p>
        </w:tc>
        <w:tc>
          <w:tcPr>
            <w:tcW w:type="dxa" w:w="23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Media</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Configuración específica ya definida (encrypt:false, trustServerCert:true). Se prueba en ambiente local antes de ir a producción.</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Locks en tablas durante sincronización</w:t>
            </w:r>
          </w:p>
        </w:tc>
        <w:tc>
          <w:tcPr>
            <w:tcW w:type="dxa" w:w="900"/>
            <w:tcBorders>
              <w:top w:val="single" w:color="D0D0D0" w:sz="1"/>
              <w:left w:val="single" w:color="D0D0D0" w:sz="1"/>
              <w:bottom w:val="single" w:color="D0D0D0" w:sz="1"/>
              <w:right w:val="single" w:color="D0D0D0" w:sz="1"/>
            </w:tcBorders>
            <w:shd w:fill="FEF3E2" w:val="clear"/>
            <w:tcMar>
              <w:top w:type="dxa" w:w="100"/>
              <w:left w:type="dxa" w:w="140"/>
              <w:bottom w:type="dxa" w:w="100"/>
              <w:right w:type="dxa" w:w="140"/>
            </w:tcMar>
          </w:tcPr>
          <w:p>
            <w:r>
              <w:rPr>
                <w:rFonts w:ascii="Arial" w:cs="Arial" w:eastAsia="Arial" w:hAnsi="Arial"/>
                <w:b/>
                <w:bCs/>
                <w:color w:val="C07000"/>
                <w:sz w:val="20"/>
                <w:szCs w:val="20"/>
              </w:rPr>
              <w:t xml:space="preserve">Medio</w:t>
            </w:r>
          </w:p>
        </w:tc>
        <w:tc>
          <w:tcPr>
            <w:tcW w:type="dxa" w:w="23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Baja</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Ventana nocturna post-9:30pm evita coincidencia con backup. Queries de solo lectura no bloquean escrituras.</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Servidor de Softland sin espacio en disco</w:t>
            </w:r>
          </w:p>
        </w:tc>
        <w:tc>
          <w:tcPr>
            <w:tcW w:type="dxa" w:w="900"/>
            <w:tcBorders>
              <w:top w:val="single" w:color="D0D0D0" w:sz="1"/>
              <w:left w:val="single" w:color="D0D0D0" w:sz="1"/>
              <w:bottom w:val="single" w:color="D0D0D0" w:sz="1"/>
              <w:right w:val="single" w:color="D0D0D0" w:sz="1"/>
            </w:tcBorders>
            <w:shd w:fill="E6F4ED" w:val="clear"/>
            <w:tcMar>
              <w:top w:type="dxa" w:w="100"/>
              <w:left w:type="dxa" w:w="140"/>
              <w:bottom w:type="dxa" w:w="100"/>
              <w:right w:type="dxa" w:w="140"/>
            </w:tcMar>
          </w:tcPr>
          <w:p>
            <w:r>
              <w:rPr>
                <w:rFonts w:ascii="Arial" w:cs="Arial" w:eastAsia="Arial" w:hAnsi="Arial"/>
                <w:b/>
                <w:bCs/>
                <w:color w:val="2E8B57"/>
                <w:sz w:val="20"/>
                <w:szCs w:val="20"/>
              </w:rPr>
              <w:t xml:space="preserve">Bajo</w:t>
            </w:r>
          </w:p>
        </w:tc>
        <w:tc>
          <w:tcPr>
            <w:tcW w:type="dxa" w:w="23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Baja</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 Sync Service es liviano (~50MB). Validar espacio disponible durante instalación.</w:t>
            </w:r>
          </w:p>
        </w:tc>
      </w:tr>
    </w:tbl>
    <w:p>
      <w:pPr>
        <w:spacing w:after="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10. Próximos Pasos Inmediatos</w:t>
            </w:r>
          </w:p>
        </w:tc>
      </w:tr>
    </w:tbl>
    <w:p>
      <w:pPr>
        <w:spacing w:after="120"/>
      </w:pPr>
      <w:r>
        <w:rPr>
          <w:rFonts w:ascii="Arial" w:cs="Arial" w:eastAsia="Arial" w:hAnsi="Arial"/>
        </w:rPr>
        <w:t xml:space="preserve"/>
      </w:r>
    </w:p>
    <w:p>
      <w:pPr>
        <w:spacing w:after="120" w:line="340"/>
      </w:pPr>
      <w:r>
        <w:rPr>
          <w:rFonts w:ascii="Arial" w:cs="Arial" w:eastAsia="Arial" w:hAnsi="Arial"/>
          <w:sz w:val="22"/>
          <w:szCs w:val="22"/>
        </w:rPr>
        <w:t xml:space="preserve">Para avanzar con la implementación, se requieren las siguientes acciones esta semana (15–17 abril 2026):</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2000"/>
        <w:gridCol w:w="1400"/>
      </w:tblGrid>
      <w:tr>
        <w:tc>
          <w:tcPr>
            <w:tcW w:type="dxa" w:w="400"/>
            <w:tcBorders>
              <w:top w:val="single" w:color="1A2B4A" w:sz="1"/>
              <w:left w:val="single" w:color="1A2B4A" w:sz="1"/>
              <w:bottom w:val="single" w:color="1A2B4A" w:sz="1"/>
              <w:right w:val="single" w:color="1A2B4A"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1A2B4A" w:sz="1"/>
              <w:left w:val="single" w:color="1A2B4A" w:sz="1"/>
              <w:bottom w:val="single" w:color="1A2B4A" w:sz="1"/>
              <w:right w:val="single" w:color="1A2B4A"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Acción</w:t>
            </w:r>
          </w:p>
        </w:tc>
        <w:tc>
          <w:tcPr>
            <w:tcW w:type="dxa" w:w="2000"/>
            <w:tcBorders>
              <w:top w:val="single" w:color="1A2B4A" w:sz="1"/>
              <w:left w:val="single" w:color="1A2B4A" w:sz="1"/>
              <w:bottom w:val="single" w:color="1A2B4A" w:sz="1"/>
              <w:right w:val="single" w:color="1A2B4A"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Responsable</w:t>
            </w:r>
          </w:p>
        </w:tc>
        <w:tc>
          <w:tcPr>
            <w:tcW w:type="dxa" w:w="1400"/>
            <w:tcBorders>
              <w:top w:val="single" w:color="1A2B4A" w:sz="1"/>
              <w:left w:val="single" w:color="1A2B4A" w:sz="1"/>
              <w:bottom w:val="single" w:color="1A2B4A" w:sz="1"/>
              <w:right w:val="single" w:color="1A2B4A"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Fecha límite</w:t>
            </w:r>
          </w:p>
        </w:tc>
      </w:tr>
      <w:tr>
        <w:tc>
          <w:tcPr>
            <w:tcW w:type="dxa" w:w="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1</w:t>
            </w:r>
          </w:p>
        </w:tc>
        <w:tc>
          <w:tcPr>
            <w:tcW w:type="dxa" w:w="5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20"/>
                <w:szCs w:val="20"/>
              </w:rPr>
              <w:t xml:space="preserve">Confirmar acceso a ambiente de prueba de la BD Softland para exploración del schema</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Kenneth Cubero (IT Munso)</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C0392B"/>
                <w:sz w:val="19"/>
                <w:szCs w:val="19"/>
              </w:rPr>
              <w:t xml:space="preserve">17 abr 2026</w:t>
            </w:r>
          </w:p>
        </w:tc>
      </w:tr>
      <w:tr>
        <w:tc>
          <w:tcPr>
            <w:tcW w:type="dxa" w:w="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2</w:t>
            </w:r>
          </w:p>
        </w:tc>
        <w:tc>
          <w:tcPr>
            <w:tcW w:type="dxa" w:w="5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20"/>
                <w:szCs w:val="20"/>
              </w:rPr>
              <w:t xml:space="preserve">Confirmar servidor alterno disponible para instalar el Sync Service (y verificar sus specs de hardware)</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Kenneth Cubero (IT Munso)</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color w:val="C0392B"/>
                <w:sz w:val="19"/>
                <w:szCs w:val="19"/>
              </w:rPr>
              <w:t xml:space="preserve">17 abr 2026</w:t>
            </w:r>
          </w:p>
        </w:tc>
      </w:tr>
      <w:tr>
        <w:tc>
          <w:tcPr>
            <w:tcW w:type="dxa" w:w="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3</w:t>
            </w:r>
          </w:p>
        </w:tc>
        <w:tc>
          <w:tcPr>
            <w:tcW w:type="dxa" w:w="5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20"/>
                <w:szCs w:val="20"/>
              </w:rPr>
              <w:t xml:space="preserve">Agendar sesión técnica de exploración de schema (1–2 horas, remota o presencial)</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sz w:val="19"/>
                <w:szCs w:val="19"/>
              </w:rPr>
              <w:t xml:space="preserve">NexAI + IT Munso</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C0392B"/>
                <w:sz w:val="19"/>
                <w:szCs w:val="19"/>
              </w:rPr>
              <w:t xml:space="preserve">17 abr 2026</w:t>
            </w:r>
          </w:p>
        </w:tc>
      </w:tr>
      <w:tr>
        <w:tc>
          <w:tcPr>
            <w:tcW w:type="dxa" w:w="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00A8C6"/>
                <w:sz w:val="20"/>
                <w:szCs w:val="20"/>
              </w:rPr>
              <w:t xml:space="preserve">4</w:t>
            </w:r>
          </w:p>
        </w:tc>
        <w:tc>
          <w:tcPr>
            <w:tcW w:type="dxa" w:w="55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20"/>
                <w:szCs w:val="20"/>
              </w:rPr>
              <w:t xml:space="preserve">Revisar y aprobar este documento de diseño técnico</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sz w:val="19"/>
                <w:szCs w:val="19"/>
              </w:rPr>
              <w:t xml:space="preserve">Kenneth Cubero (IT Munso)</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b/>
                <w:bCs/>
                <w:color w:val="C0392B"/>
                <w:sz w:val="19"/>
                <w:szCs w:val="19"/>
              </w:rPr>
              <w:t xml:space="preserve">17 abr 2026</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C6" w:sz="1"/>
              <w:left w:val="single" w:color="00A8C6" w:sz="12"/>
              <w:bottom w:val="single" w:color="00A8C6" w:sz="1"/>
              <w:right w:val="single" w:color="00A8C6" w:sz="1"/>
            </w:tcBorders>
            <w:shd w:fill="E0F6FB" w:val="clear"/>
            <w:tcMar>
              <w:top w:type="dxa" w:w="130"/>
              <w:left w:type="dxa" w:w="160"/>
              <w:bottom w:type="dxa" w:w="130"/>
              <w:right w:type="dxa" w:w="160"/>
            </w:tcMar>
          </w:tcPr>
          <w:p>
            <w:r>
              <w:rPr>
                <w:rFonts w:ascii="Arial" w:cs="Arial" w:eastAsia="Arial" w:hAnsi="Arial"/>
                <w:b/>
                <w:bCs/>
                <w:color w:val="1A2B4A"/>
                <w:sz w:val="21"/>
                <w:szCs w:val="21"/>
              </w:rPr>
              <w:t xml:space="preserve">Para consultas técnicas sobre este documento, contactar a NexAI Solutions CR:</w:t>
            </w:r>
          </w:p>
          <w:p>
            <w:pPr>
              <w:spacing w:after="60"/>
            </w:pPr>
            <w:r>
              <w:rPr>
                <w:rFonts w:ascii="Arial" w:cs="Arial" w:eastAsia="Arial" w:hAnsi="Arial"/>
              </w:rPr>
              <w:t xml:space="preserve"/>
            </w:r>
          </w:p>
          <w:p>
            <w:r>
              <w:rPr>
                <w:rFonts w:ascii="Arial" w:cs="Arial" w:eastAsia="Arial" w:hAnsi="Arial"/>
                <w:color w:val="1A1A1A"/>
                <w:sz w:val="21"/>
                <w:szCs w:val="21"/>
              </w:rPr>
              <w:t xml:space="preserve">✉  info@nexaisolutionscr.com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C6" w:sz="4" w:space="6"/>
      </w:pBdr>
    </w:pPr>
    <w:r>
      <w:rPr>
        <w:rFonts w:ascii="Arial" w:cs="Arial" w:eastAsia="Arial" w:hAnsi="Arial"/>
        <w:color w:val="555555"/>
        <w:sz w:val="16"/>
        <w:szCs w:val="16"/>
      </w:rPr>
      <w:t xml:space="preserve">Munso Importaciones S.A.  ·  Abril 2026     </w:t>
    </w:r>
    <w:r>
      <w:rPr>
        <w:rFonts w:ascii="Arial" w:cs="Arial" w:eastAsia="Arial" w:hAnsi="Arial"/>
        <w:color w:val="555555"/>
        <w:sz w:val="16"/>
        <w:szCs w:val="16"/>
      </w:rPr>
      <w:t xml:space="preserve">Página </w:t>
    </w:r>
    <w:r>
      <w:rPr>
        <w:rFonts w:ascii="Arial" w:cs="Arial" w:eastAsia="Arial" w:hAnsi="Arial"/>
        <w:color w:val="00A8C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00A8C6" w:sz="1"/>
            <w:right w:val="none" w:color="FFFFFF" w:sz="0"/>
          </w:tcBorders>
          <w:tcMar>
            <w:top w:type="dxa" w:w="60"/>
            <w:left w:type="dxa" w:w="0"/>
            <w:bottom w:type="dxa" w:w="80"/>
            <w:right w:type="dxa" w:w="0"/>
          </w:tcMar>
        </w:tcPr>
        <w:p>
          <w:r>
            <w:rPr>
              <w:rFonts w:ascii="Arial" w:cs="Arial" w:eastAsia="Arial" w:hAnsi="Arial"/>
              <w:color w:val="1A2B4A"/>
              <w:sz w:val="18"/>
              <w:szCs w:val="18"/>
            </w:rPr>
            <w:t xml:space="preserve">AIOS Munso — Diseño Técnico Sync Service</w:t>
          </w:r>
        </w:p>
      </w:tc>
      <w:tc>
        <w:tcPr>
          <w:tcW w:type="dxa" w:w="4080"/>
          <w:tcBorders>
            <w:top w:val="none" w:color="FFFFFF" w:sz="0"/>
            <w:left w:val="none" w:color="FFFFFF" w:sz="0"/>
            <w:bottom w:val="single" w:color="00A8C6" w:sz="1"/>
            <w:right w:val="none" w:color="FFFFFF" w:sz="0"/>
          </w:tcBorders>
          <w:tcMar>
            <w:top w:type="dxa" w:w="60"/>
            <w:left w:type="dxa" w:w="0"/>
            <w:bottom w:type="dxa" w:w="80"/>
            <w:right w:type="dxa" w:w="0"/>
          </w:tcMar>
        </w:tcPr>
        <w:p>
          <w:pPr>
            <w:jc w:val="right"/>
          </w:pPr>
          <w:r>
            <w:rPr>
              <w:rFonts w:ascii="Arial" w:cs="Arial" w:eastAsia="Arial" w:hAnsi="Arial"/>
              <w:color w:val="555555"/>
              <w:sz w:val="18"/>
              <w:szCs w:val="18"/>
            </w:rPr>
            <w:t xml:space="preserve">NexAI Solutions CR  |  Confidencial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2B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2B4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A8C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2026-04-15T21:45:02.165Z</dcterms:created>
  <dcterms:modified xsi:type="dcterms:W3CDTF">2026-04-15T21:45:02.165Z</dcterms:modified>
</cp:coreProperties>
</file>

<file path=docProps/custom.xml><?xml version="1.0" encoding="utf-8"?>
<Properties xmlns="http://schemas.openxmlformats.org/officeDocument/2006/custom-properties" xmlns:vt="http://schemas.openxmlformats.org/officeDocument/2006/docPropsVTypes"/>
</file>