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40"/>
        <w:jc w:val="center"/>
      </w:pPr>
      <w:r>
        <w:rPr>
          <w:b/>
          <w:i w:val="0"/>
          <w:color w:val="555F6D"/>
          <w:sz w:val="22"/>
        </w:rPr>
        <w:t>PROPOSTA DE ESCOPO</w:t>
      </w:r>
    </w:p>
    <w:p>
      <w:pPr>
        <w:jc w:val="center"/>
      </w:pPr>
      <w:r>
        <w:rPr>
          <w:b/>
          <w:color w:val="1F3B63"/>
          <w:sz w:val="52"/>
        </w:rPr>
        <w:t>Sistema de Gestão de</w:t>
        <w:br/>
        <w:t>Projetos Culturais Incentivados</w:t>
      </w:r>
    </w:p>
    <w:p>
      <w:pPr>
        <w:spacing w:after="600"/>
        <w:jc w:val="center"/>
      </w:pPr>
      <w:r>
        <w:rPr>
          <w:b w:val="0"/>
          <w:i/>
          <w:color w:val="555F6D"/>
          <w:sz w:val="22"/>
        </w:rPr>
        <w:t>Documento comercial — visão de negócio, escopo, fases e entregáveis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118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5953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9"/>
              </w:rPr>
              <w:t>Cliente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sz w:val="19"/>
              </w:rPr>
              <w:t>Baluarte Agência de Projetos Culturais Ltda</w:t>
            </w:r>
          </w:p>
        </w:tc>
      </w:tr>
      <w:tr>
        <w:tc>
          <w:tcPr>
            <w:tcW w:type="dxa" w:w="3118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CNPJ</w:t>
            </w:r>
          </w:p>
        </w:tc>
        <w:tc>
          <w:tcPr>
            <w:tcW w:type="dxa" w:w="5953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07.560.676/0001-89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9"/>
              </w:rPr>
              <w:t>Responsável pela implantação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sz w:val="19"/>
              </w:rPr>
              <w:t>Neuon Soluções</w:t>
            </w:r>
          </w:p>
        </w:tc>
      </w:tr>
      <w:tr>
        <w:tc>
          <w:tcPr>
            <w:tcW w:type="dxa" w:w="3118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Plataforma-base</w:t>
            </w:r>
          </w:p>
        </w:tc>
        <w:tc>
          <w:tcPr>
            <w:tcW w:type="dxa" w:w="5953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Sankhya (ERP) + módulos de personalização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9"/>
              </w:rPr>
              <w:t>Prazo total estimado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sz w:val="19"/>
              </w:rPr>
              <w:t>14 meses, em 6 ondas de entrega</w:t>
            </w:r>
          </w:p>
        </w:tc>
      </w:tr>
      <w:tr>
        <w:tc>
          <w:tcPr>
            <w:tcW w:type="dxa" w:w="3118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Versão do documento</w:t>
            </w:r>
          </w:p>
        </w:tc>
        <w:tc>
          <w:tcPr>
            <w:tcW w:type="dxa" w:w="5953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1.0 — agosto/2026</w:t>
            </w:r>
          </w:p>
        </w:tc>
      </w:tr>
    </w:tbl>
    <w:p>
      <w:pPr>
        <w:spacing w:after="40"/>
      </w:pPr>
    </w:p>
    <w:p>
      <w:pPr>
        <w:spacing w:after="120"/>
        <w:jc w:val="center"/>
      </w:pPr>
      <w:r>
        <w:rPr>
          <w:b w:val="0"/>
          <w:i/>
          <w:color w:val="555F6D"/>
          <w:sz w:val="18"/>
        </w:rPr>
        <w:t>Documento elaborado a partir da análise integral da operação atual do cliente: 5 planilhas de gestão (32 abas), 3 relatórios fiscais e 748 arquivos eletrônicos (eSocial e notas fiscais de serviço).</w:t>
      </w:r>
    </w:p>
    <w:p>
      <w:r>
        <w:br w:type="page"/>
      </w:r>
    </w:p>
    <w:p>
      <w:pPr>
        <w:spacing w:before="280" w:after="120"/>
      </w:pPr>
      <w:r>
        <w:rPr>
          <w:b/>
          <w:color w:val="1F3B63"/>
          <w:sz w:val="32"/>
        </w:rPr>
        <w:t>1. Sumário executivo</w:t>
      </w:r>
    </w:p>
    <w:p>
      <w:pPr>
        <w:spacing w:after="120"/>
      </w:pPr>
      <w:r>
        <w:rPr>
          <w:b w:val="0"/>
          <w:i w:val="0"/>
          <w:sz w:val="21"/>
        </w:rPr>
        <w:t>A Baluarte capta recursos de empresas por meio de leis de incentivo à cultura, executa o orçamento aprovado de cada projeto e presta contas ao poder público. Atua simultaneamente como proponente dos próprios projetos, como gestora de projetos de terceiros e como fornecedora de serviços aos projetos que administra.</w:t>
      </w:r>
    </w:p>
    <w:p>
      <w:pPr>
        <w:spacing w:after="120"/>
      </w:pPr>
      <w:r>
        <w:rPr>
          <w:b w:val="0"/>
          <w:i w:val="0"/>
          <w:sz w:val="21"/>
        </w:rPr>
        <w:t>Hoje, toda essa operação vive em planilhas Excel — uma pasta de trabalho por combinação de projeto e lei de incentivo. O modelo funciona por esforço da equipe, mas já atingiu seu limite: o mesmo gasto é digitado em até cinco lugares diferentes, os limites legais de cada lei são conferidos manualmente e só aparecem depois do estouro, e a prestação de contas é montada arquivo por arquivo.</w:t>
      </w:r>
    </w:p>
    <w:p>
      <w:pPr>
        <w:spacing w:after="120"/>
      </w:pPr>
      <w:r>
        <w:rPr>
          <w:b w:val="0"/>
          <w:i w:val="0"/>
          <w:sz w:val="21"/>
        </w:rPr>
        <w:t>A proposta é substituir esse conjunto de planilhas por um sistema único, implantado sobre o Sankhya, no qual o gasto é lançado uma vez e se propaga automaticamente para todas as visões de controle e de prestação de contas, com os limites legais validados de forma preventiva no momento do lançamento.</w:t>
      </w:r>
    </w:p>
    <w:p>
      <w:pPr>
        <w:spacing w:before="280" w:after="120"/>
      </w:pPr>
      <w:r>
        <w:rPr>
          <w:b/>
          <w:color w:val="1F3B63"/>
          <w:sz w:val="25"/>
        </w:rPr>
        <w:t>Os cinco ganhos centrais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51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Ganho</w:t>
            </w:r>
          </w:p>
        </w:tc>
        <w:tc>
          <w:tcPr>
            <w:tcW w:type="dxa" w:w="6520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O que muda na prática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Lançamento único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19"/>
              </w:rPr>
              <w:t>O gasto é registrado uma vez e alimenta orçamento, plano de ação, cronograma, extrato e prestação de contas.</w:t>
            </w:r>
          </w:p>
        </w:tc>
      </w:tr>
      <w:tr>
        <w:tc>
          <w:tcPr>
            <w:tcW w:type="dxa" w:w="2551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Limites legais preventivos</w:t>
            </w:r>
          </w:p>
        </w:tc>
        <w:tc>
          <w:tcPr>
            <w:tcW w:type="dxa" w:w="6520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O sistema alerta ou bloqueia antes do estouro de teto, em vez de o problema virar devolução de recurso ao órgão.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Rateio entre leis controlado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19"/>
              </w:rPr>
              <w:t>Projetos habilitados em várias leis passam a ter o rateio validado contra o saldo aprovado de cada lei.</w:t>
            </w:r>
          </w:p>
        </w:tc>
      </w:tr>
      <w:tr>
        <w:tc>
          <w:tcPr>
            <w:tcW w:type="dxa" w:w="2551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Conciliação bancária automática</w:t>
            </w:r>
          </w:p>
        </w:tc>
        <w:tc>
          <w:tcPr>
            <w:tcW w:type="dxa" w:w="6520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O extrato é conciliado por retorno bancário, eliminando divergências entre séries paralelas de controle.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Prestação de contas gerada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19"/>
              </w:rPr>
              <w:t>O dossiê é produzido pelo sistema, no layout de cada órgão, em vez de montado manualmente.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F3B63"/>
          <w:sz w:val="25"/>
        </w:rPr>
        <w:t>Números do desafio atual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402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5669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Situação hoje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Projetos e habilitações ativas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5 habilitações, 4 leis de incentivo, 3 proponentes terceiros</w:t>
            </w:r>
          </w:p>
        </w:tc>
      </w:tr>
      <w:tr>
        <w:tc>
          <w:tcPr>
            <w:tcW w:type="dxa" w:w="3402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Fornecedores em controle</w:t>
            </w:r>
          </w:p>
        </w:tc>
        <w:tc>
          <w:tcPr>
            <w:tcW w:type="dxa" w:w="5669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~120, cadastrados em aba de planilha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Pessoas na folha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~38 colaboradores, sem alocação sistêmica aos projetos</w:t>
            </w:r>
          </w:p>
        </w:tc>
      </w:tr>
      <w:tr>
        <w:tc>
          <w:tcPr>
            <w:tcW w:type="dxa" w:w="3402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Divergência de conciliação identificada</w:t>
            </w:r>
          </w:p>
        </w:tc>
        <w:tc>
          <w:tcPr>
            <w:tcW w:type="dxa" w:w="5669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R$ 1.039.741,65 (controle interno) × R$ 1.023.352,21 (contabilidade)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Retrabalho de digitação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O mesmo gasto reescrito em até 5 planilhas/abas distintas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b/>
          <w:color w:val="1F3B63"/>
          <w:sz w:val="32"/>
        </w:rPr>
        <w:t>2. O problema que o projeto resolve</w:t>
      </w:r>
    </w:p>
    <w:p>
      <w:pPr>
        <w:spacing w:after="120"/>
      </w:pPr>
      <w:r>
        <w:rPr>
          <w:b w:val="0"/>
          <w:i w:val="0"/>
          <w:sz w:val="21"/>
        </w:rPr>
        <w:t>A análise dos arquivos da operação evidenciou pontos de risco que já produzem efeito financeiro e regulatório: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252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Situação identificada</w:t>
            </w:r>
          </w:p>
        </w:tc>
        <w:tc>
          <w:tcPr>
            <w:tcW w:type="dxa" w:w="4819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Risco para o negócio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9"/>
              </w:rPr>
              <w:t>Retrabalho de digitação em múltiplas planilhas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Inconsistência entre visões e horas de equipe consumidas em conferência</w:t>
            </w:r>
          </w:p>
        </w:tc>
      </w:tr>
      <w:tr>
        <w:tc>
          <w:tcPr>
            <w:tcW w:type="dxa" w:w="4252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Rateio entre leis feito manualmente, sem validação</w:t>
            </w:r>
          </w:p>
        </w:tc>
        <w:tc>
          <w:tcPr>
            <w:tcW w:type="dxa" w:w="4819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Risco de comprometer verba de uma lei acima do aprovado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9"/>
              </w:rPr>
              <w:t>Tetos legais (5%, 10%, 20%, 30%) em células soltas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Estouro identificado tarde, gerando devolução de recurso ao órgão</w:t>
            </w:r>
          </w:p>
        </w:tc>
      </w:tr>
      <w:tr>
        <w:tc>
          <w:tcPr>
            <w:tcW w:type="dxa" w:w="4252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Conciliação de rendimentos com séries divergentes</w:t>
            </w:r>
          </w:p>
        </w:tc>
        <w:tc>
          <w:tcPr>
            <w:tcW w:type="dxa" w:w="4819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Insegurança sobre o saldo real disponível do projeto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9"/>
              </w:rPr>
              <w:t>Fórmulas quebradas em abas ativas de cálculo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Números incorretos circulando em decisões e relatórios</w:t>
            </w:r>
          </w:p>
        </w:tc>
      </w:tr>
      <w:tr>
        <w:tc>
          <w:tcPr>
            <w:tcW w:type="dxa" w:w="4252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Decisões críticas registradas em campo de observação livre</w:t>
            </w:r>
          </w:p>
        </w:tc>
        <w:tc>
          <w:tcPr>
            <w:tcW w:type="dxa" w:w="4819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Conhecimento retido em pessoas, não no processo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9"/>
              </w:rPr>
              <w:t>Operações fora do padrão (lei operada em planilha avulsa)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Perda de controle e de rastreabilidade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21"/>
        </w:rPr>
        <w:t>Todos esses pontos têm a mesma raiz: a planilha registra o resultado, mas não impõe a regra. O sistema proposto inverte essa lógica — a regra da lei de incentivo passa a ser parâmetro do sistema e é aplicada no momento do lançamento.</w:t>
      </w:r>
    </w:p>
    <w:p>
      <w:pPr>
        <w:spacing w:before="280" w:after="120"/>
      </w:pPr>
      <w:r>
        <w:rPr>
          <w:b/>
          <w:color w:val="1F3B63"/>
          <w:sz w:val="32"/>
        </w:rPr>
        <w:t>3. Princípios que orientam a solução</w:t>
      </w:r>
    </w:p>
    <w:p>
      <w:pPr>
        <w:spacing w:after="120"/>
      </w:pPr>
      <w:r>
        <w:rPr>
          <w:b w:val="0"/>
          <w:i w:val="0"/>
          <w:sz w:val="21"/>
        </w:rPr>
        <w:t>Estes princípios foram declarados pela direção do cliente e condicionam todo o desenho da solução.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Princípio</w:t>
            </w:r>
          </w:p>
        </w:tc>
        <w:tc>
          <w:tcPr>
            <w:tcW w:type="dxa" w:w="6236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Institucional apartado dos projetos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O projeto não é centro de custo da agência: é uma entidade financeira autônoma, com conta bancária, orçamento e prestação de contas próprios. Nenhum relatório mistura os dois caixas.</w:t>
            </w:r>
          </w:p>
        </w:tc>
      </w:tr>
      <w:tr>
        <w:tc>
          <w:tcPr>
            <w:tcW w:type="dxa" w:w="2835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O orçamento de execução é a fonte da verdade</w:t>
            </w:r>
          </w:p>
        </w:tc>
        <w:tc>
          <w:tcPr>
            <w:tcW w:type="dxa" w:w="6236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Existe um único orçamento real por projeto/ano, na linguagem da equipe. Os orçamentos das leis são projeções dele.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Multi-lei é a regra, não a exceção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Um projeto pode estar habilitado em várias leis ao mesmo tempo, cada uma com rubricas, tetos, calendário e prestação próprios.</w:t>
            </w:r>
          </w:p>
        </w:tc>
      </w:tr>
      <w:tr>
        <w:tc>
          <w:tcPr>
            <w:tcW w:type="dxa" w:w="2835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Versionamento do orçamento</w:t>
            </w:r>
          </w:p>
        </w:tc>
        <w:tc>
          <w:tcPr>
            <w:tcW w:type="dxa" w:w="6236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Aprovação inicial e readequações convivem lado a lado, nunca sobrescritas, com justificativa registrada por item alterado.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Compliance preventivo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Todo lançamento passa pela validação de regras antes de ser efetivado: permitido, alerta ou bloqueado, sempre com a regra citada.</w:t>
            </w:r>
          </w:p>
        </w:tc>
      </w:tr>
      <w:tr>
        <w:tc>
          <w:tcPr>
            <w:tcW w:type="dxa" w:w="2835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Rastreabilidade por identificador</w:t>
            </w:r>
          </w:p>
        </w:tc>
        <w:tc>
          <w:tcPr>
            <w:tcW w:type="dxa" w:w="6236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Rubricas, fornecedores, documentos e lançamentos se ligam por chave, não por texto digitado.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Multi-proponente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19"/>
              </w:rPr>
              <w:t>O sistema atende também projetos cujo proponente é um terceiro administrado pela agência.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b/>
          <w:color w:val="1F3B63"/>
          <w:sz w:val="32"/>
        </w:rPr>
        <w:t>4. Escopo da solução</w:t>
      </w:r>
    </w:p>
    <w:p>
      <w:pPr>
        <w:spacing w:before="280" w:after="120"/>
      </w:pPr>
      <w:r>
        <w:rPr>
          <w:b/>
          <w:color w:val="1F3B63"/>
          <w:sz w:val="25"/>
        </w:rPr>
        <w:t>4.1 Blocos incluídos no escopo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567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551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Bloco</w:t>
            </w:r>
          </w:p>
        </w:tc>
        <w:tc>
          <w:tcPr>
            <w:tcW w:type="dxa" w:w="5953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O que contempla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Gestão de projetos culturais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sz w:val="19"/>
              </w:rPr>
              <w:t>Cadastro de projetos, edições anuais, habilitações em leis, vigências e metas</w:t>
            </w:r>
          </w:p>
        </w:tc>
      </w:tr>
      <w:tr>
        <w:tc>
          <w:tcPr>
            <w:tcW w:type="dxa" w:w="567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551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Orçamento multi-versão e multi-lei</w:t>
            </w:r>
          </w:p>
        </w:tc>
        <w:tc>
          <w:tcPr>
            <w:tcW w:type="dxa" w:w="5953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Orçamento aprovado, readequações, orçamento de execução e rateio entre leis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Captação e patrocínio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sz w:val="19"/>
              </w:rPr>
              <w:t>Prospecção, termos de compromisso, direcionamento, repasse e contrapartidas</w:t>
            </w:r>
          </w:p>
        </w:tc>
      </w:tr>
      <w:tr>
        <w:tc>
          <w:tcPr>
            <w:tcW w:type="dxa" w:w="567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551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Contas a pagar do projeto</w:t>
            </w:r>
          </w:p>
        </w:tc>
        <w:tc>
          <w:tcPr>
            <w:tcW w:type="dxa" w:w="5953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Plano de ação, parcelas, fluxo de aprovação e pagamento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Tesouraria de projeto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sz w:val="19"/>
              </w:rPr>
              <w:t>Contas vinculadas, conciliação bancária, tarifas e devoluções</w:t>
            </w:r>
          </w:p>
        </w:tc>
      </w:tr>
      <w:tr>
        <w:tc>
          <w:tcPr>
            <w:tcW w:type="dxa" w:w="567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2551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Aplicações e rendimentos</w:t>
            </w:r>
          </w:p>
        </w:tc>
        <w:tc>
          <w:tcPr>
            <w:tcW w:type="dxa" w:w="5953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Controle por conta e veículo, autorização de uso e devolução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Compliance e tetos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sz w:val="19"/>
              </w:rPr>
              <w:t>Motor de regras por lei, remanejamento entre rubricas e alertas</w:t>
            </w:r>
          </w:p>
        </w:tc>
      </w:tr>
      <w:tr>
        <w:tc>
          <w:tcPr>
            <w:tcW w:type="dxa" w:w="567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2551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Documentos fiscais</w:t>
            </w:r>
          </w:p>
        </w:tc>
        <w:tc>
          <w:tcPr>
            <w:tcW w:type="dxa" w:w="5953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Recebimento, validação, guarda, substituição e impostos vinculados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9"/>
              </w:rPr>
              <w:t>9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Prestação de contas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sz w:val="19"/>
              </w:rPr>
              <w:t>Numeração, montagem do dossiê e exportação no layout de cada órgão</w:t>
            </w:r>
          </w:p>
        </w:tc>
      </w:tr>
      <w:tr>
        <w:tc>
          <w:tcPr>
            <w:tcW w:type="dxa" w:w="567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10</w:t>
            </w:r>
          </w:p>
        </w:tc>
        <w:tc>
          <w:tcPr>
            <w:tcW w:type="dxa" w:w="2551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Pessoas</w:t>
            </w:r>
          </w:p>
        </w:tc>
        <w:tc>
          <w:tcPr>
            <w:tcW w:type="dxa" w:w="5953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Alocação de folha e autônomos às rubricas dos projetos, com consumo do eSocial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9"/>
              </w:rPr>
              <w:t>11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Institucional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sz w:val="19"/>
              </w:rPr>
              <w:t>Faturamento, contratos de gestão, contas a receber e a pagar da própria empresa</w:t>
            </w:r>
          </w:p>
        </w:tc>
      </w:tr>
      <w:tr>
        <w:tc>
          <w:tcPr>
            <w:tcW w:type="dxa" w:w="567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12</w:t>
            </w:r>
          </w:p>
        </w:tc>
        <w:tc>
          <w:tcPr>
            <w:tcW w:type="dxa" w:w="2551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Painéis e indicadores</w:t>
            </w:r>
          </w:p>
        </w:tc>
        <w:tc>
          <w:tcPr>
            <w:tcW w:type="dxa" w:w="5953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Saúde do projeto, consumo de tetos, fluxo de caixa, captação e produtividade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9"/>
              </w:rPr>
              <w:t>13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Workflow, alçadas e segurança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sz w:val="19"/>
              </w:rPr>
              <w:t>Segregação de funções, perfis de acesso e trilha de auditoria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F3B63"/>
          <w:sz w:val="25"/>
        </w:rPr>
        <w:t>4.2 Fora do escopo desta fase</w:t>
      </w:r>
    </w:p>
    <w:p>
      <w:pPr>
        <w:spacing w:after="120"/>
      </w:pPr>
      <w:r>
        <w:rPr>
          <w:b w:val="0"/>
          <w:i w:val="0"/>
          <w:sz w:val="21"/>
        </w:rPr>
        <w:t>Delimitação explícita para evitar ambiguidade comercial:</w:t>
      </w:r>
    </w:p>
    <w:p>
      <w:pPr>
        <w:pStyle w:val="ListBullet"/>
        <w:spacing w:after="60"/>
      </w:pPr>
      <w:r>
        <w:rPr>
          <w:b/>
        </w:rPr>
        <w:t xml:space="preserve">Cálculo da folha de pagamento. </w:t>
      </w:r>
      <w:r>
        <w:t>O sistema consome o resultado da folha e do eSocial produzidos pelo RH/contabilidade atual.</w:t>
      </w:r>
    </w:p>
    <w:p>
      <w:pPr>
        <w:pStyle w:val="ListBullet"/>
        <w:spacing w:after="60"/>
      </w:pPr>
      <w:r>
        <w:rPr>
          <w:b/>
        </w:rPr>
        <w:t xml:space="preserve">Escrituração contábil e fiscal completa </w:t>
      </w:r>
      <w:r>
        <w:t>(SPED, ECD, ECF) — permanece na contabilidade terceirizada.</w:t>
      </w:r>
    </w:p>
    <w:p>
      <w:pPr>
        <w:pStyle w:val="ListBullet"/>
        <w:spacing w:after="60"/>
      </w:pPr>
      <w:r>
        <w:rPr>
          <w:b/>
        </w:rPr>
        <w:t xml:space="preserve">Emissão da NFS-e junto à prefeitura. </w:t>
      </w:r>
      <w:r>
        <w:t>O sistema prepara os dados e registra a nota emitida.</w:t>
      </w:r>
    </w:p>
    <w:p>
      <w:pPr>
        <w:pStyle w:val="ListBullet"/>
        <w:spacing w:after="60"/>
      </w:pPr>
      <w:r>
        <w:rPr>
          <w:b/>
        </w:rPr>
        <w:t xml:space="preserve">Portal público de inscrição </w:t>
      </w:r>
      <w:r>
        <w:t>de alunos e participantes.</w:t>
      </w:r>
    </w:p>
    <w:p>
      <w:pPr>
        <w:pStyle w:val="ListBullet"/>
        <w:spacing w:after="60"/>
      </w:pPr>
      <w:r>
        <w:rPr>
          <w:b/>
        </w:rPr>
        <w:t>Gestão de conteúdo e acervo cultural.</w:t>
      </w:r>
      <w:r/>
    </w:p>
    <w:p>
      <w:r>
        <w:br w:type="page"/>
      </w:r>
    </w:p>
    <w:p>
      <w:pPr>
        <w:spacing w:before="280" w:after="120"/>
      </w:pPr>
      <w:r>
        <w:rPr>
          <w:b/>
          <w:color w:val="1F3B63"/>
          <w:sz w:val="32"/>
        </w:rPr>
        <w:t>5. Módulos da solução</w:t>
      </w:r>
    </w:p>
    <w:p>
      <w:pPr>
        <w:spacing w:after="120"/>
      </w:pPr>
      <w:r>
        <w:rPr>
          <w:b w:val="0"/>
          <w:i w:val="0"/>
          <w:sz w:val="21"/>
        </w:rPr>
        <w:t>A solução é organizada em 16 módulos. Dois deles — compliance e workflow — são transversais e atuam sobre todos os demais.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51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6520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Entrega de negócio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M01 · Fundação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19"/>
              </w:rPr>
              <w:t>Cada lei de incentivo é parametrizada por cadastro: uma lei nova entra sem desenvolvimento.</w:t>
            </w:r>
          </w:p>
        </w:tc>
      </w:tr>
      <w:tr>
        <w:tc>
          <w:tcPr>
            <w:tcW w:type="dxa" w:w="2551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M02 · Projetos e habilitações</w:t>
            </w:r>
          </w:p>
        </w:tc>
        <w:tc>
          <w:tcPr>
            <w:tcW w:type="dxa" w:w="6520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O projeto passa a ser tratado como programa plurianual, e cada habilitação em lei como entidade financeira autônoma.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M03 · Orçamento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19"/>
              </w:rPr>
              <w:t>Orçamento aprovado versionado, orçamento de execução e rateio entre leis em uma estrutura única e conectada.</w:t>
            </w:r>
          </w:p>
        </w:tc>
      </w:tr>
      <w:tr>
        <w:tc>
          <w:tcPr>
            <w:tcW w:type="dxa" w:w="2551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M04 · Captação e patrocínio</w:t>
            </w:r>
          </w:p>
        </w:tc>
        <w:tc>
          <w:tcPr>
            <w:tcW w:type="dxa" w:w="6520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Controle do funil e do ciclo compromisso → direcionamento → repasse.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M05 · Fornecedores e contratos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19"/>
              </w:rPr>
              <w:t>Base única de fornecedores, hoje mantida em aba de planilha, com contratos vinculados.</w:t>
            </w:r>
          </w:p>
        </w:tc>
      </w:tr>
      <w:tr>
        <w:tc>
          <w:tcPr>
            <w:tcW w:type="dxa" w:w="2551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M06 · Plano de ação</w:t>
            </w:r>
          </w:p>
        </w:tc>
        <w:tc>
          <w:tcPr>
            <w:tcW w:type="dxa" w:w="6520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Tela de trabalho diário da equipe: parcelas a pagar do projeto, com status e aprovação.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M07 · Tesouraria e conciliação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19"/>
              </w:rPr>
              <w:t>Extrato conciliado linha a linha por retorno bancário.</w:t>
            </w:r>
          </w:p>
        </w:tc>
      </w:tr>
      <w:tr>
        <w:tc>
          <w:tcPr>
            <w:tcW w:type="dxa" w:w="2551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M08 · Aplicações e rendimentos</w:t>
            </w:r>
          </w:p>
        </w:tc>
        <w:tc>
          <w:tcPr>
            <w:tcW w:type="dxa" w:w="6520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Controle das aplicações do projeto e resolução da divergência de conciliação existente.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M09 · Motor de compliance e tetos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19"/>
              </w:rPr>
              <w:t>Os limites legais passam de conferência manual a validação preventiva com bloqueio ou alçada.</w:t>
            </w:r>
          </w:p>
        </w:tc>
      </w:tr>
      <w:tr>
        <w:tc>
          <w:tcPr>
            <w:tcW w:type="dxa" w:w="2551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M10 · Documentos fiscais</w:t>
            </w:r>
          </w:p>
        </w:tc>
        <w:tc>
          <w:tcPr>
            <w:tcW w:type="dxa" w:w="6520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Estrutura o que hoje depende de observação livre e conferência humana.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M11 · Prestação de contas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19"/>
              </w:rPr>
              <w:t>O dossiê é gerado pelo sistema, não montado manualmente.</w:t>
            </w:r>
          </w:p>
        </w:tc>
      </w:tr>
      <w:tr>
        <w:tc>
          <w:tcPr>
            <w:tcW w:type="dxa" w:w="2551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M12 · Metas físicas</w:t>
            </w:r>
          </w:p>
        </w:tc>
        <w:tc>
          <w:tcPr>
            <w:tcW w:type="dxa" w:w="6520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As metas do projeto saem do rodapé da planilha e passam a ser acompanhadas e comprovadas.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M13 · Pessoas, folha e eSocial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19"/>
              </w:rPr>
              <w:t>Alocação da equipe aos projetos com trilha auditável, a partir dos arquivos do eSocial.</w:t>
            </w:r>
          </w:p>
        </w:tc>
      </w:tr>
      <w:tr>
        <w:tc>
          <w:tcPr>
            <w:tcW w:type="dxa" w:w="2551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M14 · Institucional</w:t>
            </w:r>
          </w:p>
        </w:tc>
        <w:tc>
          <w:tcPr>
            <w:tcW w:type="dxa" w:w="6520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O caixa da própria empresa, apartado dos projetos, com faturamento e contratos de gestão.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19"/>
              </w:rPr>
              <w:t>M15 · Painéis e BI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19"/>
              </w:rPr>
              <w:t>Oito painéis gerenciais: saúde do projeto, tetos, fluxo de caixa, captação, produtividade, rentabilidade, riscos e calendário regulatório.</w:t>
            </w:r>
          </w:p>
        </w:tc>
      </w:tr>
      <w:tr>
        <w:tc>
          <w:tcPr>
            <w:tcW w:type="dxa" w:w="2551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M16 · Workflow e segurança</w:t>
            </w:r>
          </w:p>
        </w:tc>
        <w:tc>
          <w:tcPr>
            <w:tcW w:type="dxa" w:w="6520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Segregação de funções como controle de sistema, alçadas por valor e auditoria imutável.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b/>
          <w:color w:val="1F3B63"/>
          <w:sz w:val="32"/>
        </w:rPr>
        <w:t>6. Aproveitamento do Sankhya e esforço de personalização</w:t>
      </w:r>
    </w:p>
    <w:p>
      <w:pPr>
        <w:spacing w:after="120"/>
      </w:pPr>
      <w:r>
        <w:rPr>
          <w:b w:val="0"/>
          <w:i w:val="0"/>
          <w:sz w:val="21"/>
        </w:rPr>
        <w:t>A implantação é feita sobre o Sankhya. A tabela indica o que o produto já resolve e onde o esforço de desenvolvimento se concentra — informação central para o dimensionamento comercial.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18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Necessidade</w:t>
            </w:r>
          </w:p>
        </w:tc>
        <w:tc>
          <w:tcPr>
            <w:tcW w:type="dxa" w:w="1701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Sankhya padrão</w:t>
            </w:r>
          </w:p>
        </w:tc>
        <w:tc>
          <w:tcPr>
            <w:tcW w:type="dxa" w:w="4252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Esforço de personalização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9"/>
              </w:rPr>
              <w:t>Cadastro de fornecedores e patrocinadores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Atende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9"/>
              </w:rPr>
              <w:t>Campos específicos de natureza e código de serviço</w:t>
            </w:r>
          </w:p>
        </w:tc>
      </w:tr>
      <w:tr>
        <w:tc>
          <w:tcPr>
            <w:tcW w:type="dxa" w:w="3118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Contas a pagar e a receber</w:t>
            </w:r>
          </w:p>
        </w:tc>
        <w:tc>
          <w:tcPr>
            <w:tcW w:type="dxa" w:w="1701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Atende</w:t>
            </w:r>
          </w:p>
        </w:tc>
        <w:tc>
          <w:tcPr>
            <w:tcW w:type="dxa" w:w="4252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Inclusão das dimensões obrigatórias de habilitação e rubrica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9"/>
              </w:rPr>
              <w:t>Contas bancárias e conciliação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Atende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9"/>
              </w:rPr>
              <w:t>Conta vinculada por projeto e bloqueio de saldo consolidado</w:t>
            </w:r>
          </w:p>
        </w:tc>
      </w:tr>
      <w:tr>
        <w:tc>
          <w:tcPr>
            <w:tcW w:type="dxa" w:w="3118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Centro de custo / projeto</w:t>
            </w:r>
          </w:p>
        </w:tc>
        <w:tc>
          <w:tcPr>
            <w:tcW w:type="dxa" w:w="1701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Insuficiente</w:t>
            </w:r>
          </w:p>
        </w:tc>
        <w:tc>
          <w:tcPr>
            <w:tcW w:type="dxa" w:w="4252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Nova entidade de habilitação com orçamento versionado e tetos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9"/>
              </w:rPr>
              <w:t>Orçamento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Parcial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9"/>
              </w:rPr>
              <w:t>Novo módulo: versionamento com justificativa e rateio multi-lei</w:t>
            </w:r>
          </w:p>
        </w:tc>
      </w:tr>
      <w:tr>
        <w:tc>
          <w:tcPr>
            <w:tcW w:type="dxa" w:w="3118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Motor de tetos</w:t>
            </w:r>
          </w:p>
        </w:tc>
        <w:tc>
          <w:tcPr>
            <w:tcW w:type="dxa" w:w="1701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Não atende</w:t>
            </w:r>
          </w:p>
        </w:tc>
        <w:tc>
          <w:tcPr>
            <w:tcW w:type="dxa" w:w="4252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Novo: regras parametrizáveis com bloqueio no lançamento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9"/>
              </w:rPr>
              <w:t>Plano de ação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Parcial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9"/>
              </w:rPr>
              <w:t>Adaptação do contas a pagar com status próprios</w:t>
            </w:r>
          </w:p>
        </w:tc>
      </w:tr>
      <w:tr>
        <w:tc>
          <w:tcPr>
            <w:tcW w:type="dxa" w:w="3118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Documentos fiscais</w:t>
            </w:r>
          </w:p>
        </w:tc>
        <w:tc>
          <w:tcPr>
            <w:tcW w:type="dxa" w:w="1701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Atende</w:t>
            </w:r>
          </w:p>
        </w:tc>
        <w:tc>
          <w:tcPr>
            <w:tcW w:type="dxa" w:w="4252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Validações específicas por rubrica e controle de substituição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9"/>
              </w:rPr>
              <w:t>Folha e eSocial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Parcial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9"/>
              </w:rPr>
              <w:t>Importação de arquivos e matriz de rateio para rubricas</w:t>
            </w:r>
          </w:p>
        </w:tc>
      </w:tr>
      <w:tr>
        <w:tc>
          <w:tcPr>
            <w:tcW w:type="dxa" w:w="3118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Prestação de contas</w:t>
            </w:r>
          </w:p>
        </w:tc>
        <w:tc>
          <w:tcPr>
            <w:tcW w:type="dxa" w:w="1701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Não atende</w:t>
            </w:r>
          </w:p>
        </w:tc>
        <w:tc>
          <w:tcPr>
            <w:tcW w:type="dxa" w:w="4252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Novo módulo: numeração, dossiê e exportação por órgão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9"/>
              </w:rPr>
              <w:t>Metas físicas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Não atende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9"/>
              </w:rPr>
              <w:t>Novo</w:t>
            </w:r>
          </w:p>
        </w:tc>
      </w:tr>
      <w:tr>
        <w:tc>
          <w:tcPr>
            <w:tcW w:type="dxa" w:w="3118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Workflow e alçadas</w:t>
            </w:r>
          </w:p>
        </w:tc>
        <w:tc>
          <w:tcPr>
            <w:tcW w:type="dxa" w:w="1701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Atende</w:t>
            </w:r>
          </w:p>
        </w:tc>
        <w:tc>
          <w:tcPr>
            <w:tcW w:type="dxa" w:w="4252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Configuração dos fluxos de dupla conferência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sz w:val="19"/>
              </w:rPr>
              <w:t>Painéis e BI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Atende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9"/>
              </w:rPr>
              <w:t>Modelagem dos painéis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F3B63"/>
          <w:sz w:val="25"/>
        </w:rPr>
        <w:t>Distribuição do esforço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Natureza</w:t>
            </w:r>
          </w:p>
        </w:tc>
        <w:tc>
          <w:tcPr>
            <w:tcW w:type="dxa" w:w="1984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Participação</w:t>
            </w:r>
          </w:p>
        </w:tc>
        <w:tc>
          <w:tcPr>
            <w:tcW w:type="dxa" w:w="4252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Onde se concentra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Aproveitamento do padrão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  <w:t>~45%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9"/>
              </w:rPr>
              <w:t>Financeiro, parceiros, fiscal, workflow e BI</w:t>
            </w:r>
          </w:p>
        </w:tc>
      </w:tr>
      <w:tr>
        <w:tc>
          <w:tcPr>
            <w:tcW w:type="dxa" w:w="2835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Adaptação de recursos existentes</w:t>
            </w:r>
          </w:p>
        </w:tc>
        <w:tc>
          <w:tcPr>
            <w:tcW w:type="dxa" w:w="1984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~25%</w:t>
            </w:r>
          </w:p>
        </w:tc>
        <w:tc>
          <w:tcPr>
            <w:tcW w:type="dxa" w:w="4252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Plano de ação, documentos fiscais, folha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Desenvolvimento novo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  <w:t>~30%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sz w:val="19"/>
              </w:rPr>
              <w:t>Orçamento multi-lei, motor de tetos, prestação de contas e rateio de folha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b/>
          <w:color w:val="1F3B63"/>
          <w:sz w:val="32"/>
        </w:rPr>
        <w:t>7. Roadmap de implantação</w:t>
      </w:r>
    </w:p>
    <w:p>
      <w:pPr>
        <w:spacing w:after="120"/>
      </w:pPr>
      <w:r>
        <w:rPr>
          <w:b w:val="0"/>
          <w:i w:val="0"/>
          <w:sz w:val="21"/>
        </w:rPr>
        <w:t>A implantação é dividida em 6 ondas, cada uma com entregável de negócio verificável. O sequenciamento prioriza tirar a equipe da planilha no dia a dia antes de avançar para os módulos de inteligência.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268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Onda</w:t>
            </w:r>
          </w:p>
        </w:tc>
        <w:tc>
          <w:tcPr>
            <w:tcW w:type="dxa" w:w="1020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Prazo</w:t>
            </w:r>
          </w:p>
        </w:tc>
        <w:tc>
          <w:tcPr>
            <w:tcW w:type="dxa" w:w="2948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Conteúdo</w:t>
            </w:r>
          </w:p>
        </w:tc>
        <w:tc>
          <w:tcPr>
            <w:tcW w:type="dxa" w:w="2835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Entregável de negócio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1 · Fundação e controle financeiro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9"/>
              </w:rPr>
              <w:t>3 meses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Fundação, projetos e habilitações, fornecedores, plano de ação, tesouraria e conciliação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A equipe para de digitar pagamento em planilha</w:t>
            </w:r>
          </w:p>
        </w:tc>
      </w:tr>
      <w:tr>
        <w:tc>
          <w:tcPr>
            <w:tcW w:type="dxa" w:w="2268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2 · Orçamento e compliance</w:t>
            </w:r>
          </w:p>
        </w:tc>
        <w:tc>
          <w:tcPr>
            <w:tcW w:type="dxa" w:w="1020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3 meses</w:t>
            </w:r>
          </w:p>
        </w:tc>
        <w:tc>
          <w:tcPr>
            <w:tcW w:type="dxa" w:w="2948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Orçamento aprovado versionado, execução, rateio e motor de tetos</w:t>
            </w:r>
          </w:p>
        </w:tc>
        <w:tc>
          <w:tcPr>
            <w:tcW w:type="dxa" w:w="2835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Estouro de teto vira bloqueio, não devolução de recurso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3 · Captação, rendimentos e documentos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9"/>
              </w:rPr>
              <w:t>2 meses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Captação, aplicações e rendimentos, documentos fiscais, integração bancária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Conciliação de rendimento resolvida; fim da divergência</w:t>
            </w:r>
          </w:p>
        </w:tc>
      </w:tr>
      <w:tr>
        <w:tc>
          <w:tcPr>
            <w:tcW w:type="dxa" w:w="2268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4 · Pessoas e institucional</w:t>
            </w:r>
          </w:p>
        </w:tc>
        <w:tc>
          <w:tcPr>
            <w:tcW w:type="dxa" w:w="1020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2 meses</w:t>
            </w:r>
          </w:p>
        </w:tc>
        <w:tc>
          <w:tcPr>
            <w:tcW w:type="dxa" w:w="2948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Folha, eSocial e rateio; módulo institucional</w:t>
            </w:r>
          </w:p>
        </w:tc>
        <w:tc>
          <w:tcPr>
            <w:tcW w:type="dxa" w:w="2835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Fim do controle manual de alocação de equipe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5 · Prestação de contas e inteligência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sz w:val="19"/>
              </w:rPr>
              <w:t>2 meses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19"/>
              </w:rPr>
              <w:t>Prestação de contas, metas físicas e painéis gerenciais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Dossiê gerado pelo sistema, não montado</w:t>
            </w:r>
          </w:p>
        </w:tc>
      </w:tr>
      <w:tr>
        <w:tc>
          <w:tcPr>
            <w:tcW w:type="dxa" w:w="2268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6 · Órgãos e portal do proponente</w:t>
            </w:r>
          </w:p>
        </w:tc>
        <w:tc>
          <w:tcPr>
            <w:tcW w:type="dxa" w:w="1020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2 meses</w:t>
            </w:r>
          </w:p>
        </w:tc>
        <w:tc>
          <w:tcPr>
            <w:tcW w:type="dxa" w:w="2948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Exportadores no layout de cada órgão e portal de consulta para proponentes terceiros</w:t>
            </w:r>
          </w:p>
        </w:tc>
        <w:tc>
          <w:tcPr>
            <w:tcW w:type="dxa" w:w="2835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O proponente terceiro consulta sozinho, sem pedir planilha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21"/>
        </w:rPr>
        <w:t>Prazo total estimado: 14 meses. As ondas são sequenciais, mas cada uma entra em produção ao seu término — o cliente captura valor a partir do 3º mês.</w:t>
      </w:r>
    </w:p>
    <w:p>
      <w:pPr>
        <w:spacing w:before="280" w:after="120"/>
      </w:pPr>
      <w:r>
        <w:rPr>
          <w:b/>
          <w:color w:val="1F3B63"/>
          <w:sz w:val="32"/>
        </w:rPr>
        <w:t>8. Integrações previstas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5102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Integração</w:t>
            </w:r>
          </w:p>
        </w:tc>
        <w:tc>
          <w:tcPr>
            <w:tcW w:type="dxa" w:w="1984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Direção</w:t>
            </w:r>
          </w:p>
        </w:tc>
        <w:tc>
          <w:tcPr>
            <w:tcW w:type="dxa" w:w="1984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Prioridade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eSocial (arquivos XML da folha)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  <w:t>Entrada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5102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Notas fiscais de serviço tomadas (XML)</w:t>
            </w:r>
          </w:p>
        </w:tc>
        <w:tc>
          <w:tcPr>
            <w:tcW w:type="dxa" w:w="1984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Entrada</w:t>
            </w:r>
          </w:p>
        </w:tc>
        <w:tc>
          <w:tcPr>
            <w:tcW w:type="dxa" w:w="1984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Retorno bancário — BB, Bradesco, Banestes e BTG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  <w:t>Entrada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5102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Remessa de pagamentos (CNAB / PIX em lote)</w:t>
            </w:r>
          </w:p>
        </w:tc>
        <w:tc>
          <w:tcPr>
            <w:tcW w:type="dxa" w:w="1984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Saída</w:t>
            </w:r>
          </w:p>
        </w:tc>
        <w:tc>
          <w:tcPr>
            <w:tcW w:type="dxa" w:w="1984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Exportação para Excel no layout atual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  <w:t>Saída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5102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Emissão de NFS-e (institucional)</w:t>
            </w:r>
          </w:p>
        </w:tc>
        <w:tc>
          <w:tcPr>
            <w:tcW w:type="dxa" w:w="1984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Saída</w:t>
            </w:r>
          </w:p>
        </w:tc>
        <w:tc>
          <w:tcPr>
            <w:tcW w:type="dxa" w:w="1984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Média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SALIC / Rouanet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  <w:t>Saída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  <w:t>Média</w:t>
            </w:r>
          </w:p>
        </w:tc>
      </w:tr>
      <w:tr>
        <w:tc>
          <w:tcPr>
            <w:tcW w:type="dxa" w:w="5102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Desenvolve Cultura (SECEC)</w:t>
            </w:r>
          </w:p>
        </w:tc>
        <w:tc>
          <w:tcPr>
            <w:tcW w:type="dxa" w:w="1984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Saída</w:t>
            </w:r>
          </w:p>
        </w:tc>
        <w:tc>
          <w:tcPr>
            <w:tcW w:type="dxa" w:w="1984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Média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CCPC / Profilm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  <w:t>Saída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  <w:t>Média</w:t>
            </w:r>
          </w:p>
        </w:tc>
      </w:tr>
      <w:tr>
        <w:tc>
          <w:tcPr>
            <w:tcW w:type="dxa" w:w="5102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Trello (entrada alternativa de solicitação de pagamento)</w:t>
            </w:r>
          </w:p>
        </w:tc>
        <w:tc>
          <w:tcPr>
            <w:tcW w:type="dxa" w:w="1984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Entrada</w:t>
            </w:r>
          </w:p>
        </w:tc>
        <w:tc>
          <w:tcPr>
            <w:tcW w:type="dxa" w:w="1984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Média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/>
            <w:r>
              <w:rPr>
                <w:sz w:val="19"/>
              </w:rPr>
              <w:t>Consulta de CNPJ/CPF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  <w:t>Entrada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  <w:t>Baixa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21"/>
        </w:rPr>
        <w:t>As integrações com os órgãos são feitas por exportação em lote no layout de cada plataforma, sem dependência de APIs de terceiros — o que elimina risco de cronograma externo.</w:t>
      </w:r>
    </w:p>
    <w:p>
      <w:r>
        <w:br w:type="page"/>
      </w:r>
    </w:p>
    <w:p>
      <w:pPr>
        <w:spacing w:before="280" w:after="120"/>
      </w:pPr>
      <w:r>
        <w:rPr>
          <w:b/>
          <w:color w:val="1F3B63"/>
          <w:sz w:val="32"/>
        </w:rPr>
        <w:t>9. Migração de dados</w:t>
      </w:r>
    </w:p>
    <w:p>
      <w:pPr>
        <w:spacing w:after="120"/>
      </w:pPr>
      <w:r>
        <w:rPr>
          <w:b w:val="0"/>
          <w:i w:val="0"/>
          <w:sz w:val="21"/>
        </w:rPr>
        <w:t>A carga inicial é executada em 11 blocos, acompanhando as ondas de implantação: leis e rubricas, fornecedores, projetos e habilitações, orçamentos aprovados (todas as versões), orçamento de execução, captação, plano de ação, extratos, rendimentos, colaboradores e metas.</w:t>
      </w:r>
    </w:p>
    <w:p>
      <w:pPr>
        <w:spacing w:before="280" w:after="120"/>
      </w:pPr>
      <w:r>
        <w:rPr>
          <w:b/>
          <w:color w:val="1F3B63"/>
          <w:sz w:val="25"/>
        </w:rPr>
        <w:t>Pontos de atenção já mapeados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402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Ponto</w:t>
            </w:r>
          </w:p>
        </w:tc>
        <w:tc>
          <w:tcPr>
            <w:tcW w:type="dxa" w:w="5669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Tratamento previsto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Fórmulas quebradas em abas de cálculo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Valores não migrados; o saldo entra por ajuste de abertura documentado</w:t>
            </w:r>
          </w:p>
        </w:tc>
      </w:tr>
      <w:tr>
        <w:tc>
          <w:tcPr>
            <w:tcW w:type="dxa" w:w="3402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Divergência entre séries de rendimento</w:t>
            </w:r>
          </w:p>
        </w:tc>
        <w:tc>
          <w:tcPr>
            <w:tcW w:type="dxa" w:w="5669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O extrato bancário é a série oficial; as demais entram como conferência, com a diferença visível em tela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Nomes de fornecedor inconsistentes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Deduplicação assistida por CNPJ/CPF, com tela de fusão de cadastros</w:t>
            </w:r>
          </w:p>
        </w:tc>
      </w:tr>
      <w:tr>
        <w:tc>
          <w:tcPr>
            <w:tcW w:type="dxa" w:w="3402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Abas ocultas com histórico legado (2018)</w:t>
            </w:r>
          </w:p>
        </w:tc>
        <w:tc>
          <w:tcPr>
            <w:tcW w:type="dxa" w:w="5669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Fora da migração; arquivos originais preservados como anexo documental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19"/>
              </w:rPr>
              <w:t>Divergência entre nome de arquivo e valor real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A migração usa sempre o valor apurado, nunca o nome do arquivo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21"/>
        </w:rPr>
        <w:t>Esses pontos foram identificados na análise prévia e já estão endereçados no plano — não são riscos abertos.</w:t>
      </w:r>
    </w:p>
    <w:p>
      <w:pPr>
        <w:spacing w:before="280" w:after="120"/>
      </w:pPr>
      <w:r>
        <w:rPr>
          <w:b/>
          <w:color w:val="1F3B63"/>
          <w:sz w:val="32"/>
        </w:rPr>
        <w:t>10. Compromissos de qualidade da solução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6803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Compromisso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Auditoria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Registro imutável de toda alteração financeira, com retenção mínima de 10 anos</w:t>
            </w:r>
          </w:p>
        </w:tc>
      </w:tr>
      <w:tr>
        <w:tc>
          <w:tcPr>
            <w:tcW w:type="dxa" w:w="2268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Guarda documental</w:t>
            </w:r>
          </w:p>
        </w:tc>
        <w:tc>
          <w:tcPr>
            <w:tcW w:type="dxa" w:w="6803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Armazenamento de PDFs e XMLs com integridade verificável, organizados por projeto, lei e rubrica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Precisão numérica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Valores monetários com arredondamento explícito e consistente, sem propagação de resíduos</w:t>
            </w:r>
          </w:p>
        </w:tc>
      </w:tr>
      <w:tr>
        <w:tc>
          <w:tcPr>
            <w:tcW w:type="dxa" w:w="2268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Isolamento</w:t>
            </w:r>
          </w:p>
        </w:tc>
        <w:tc>
          <w:tcPr>
            <w:tcW w:type="dxa" w:w="6803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Separação lógica por proponente, com acesso restrito por vínculo com o projeto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Desempenho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Telas de alto volume (cronogramas com centenas de linhas) abertas em menos de 3 segundos</w:t>
            </w:r>
          </w:p>
        </w:tc>
      </w:tr>
      <w:tr>
        <w:tc>
          <w:tcPr>
            <w:tcW w:type="dxa" w:w="2268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Exportação</w:t>
            </w:r>
          </w:p>
        </w:tc>
        <w:tc>
          <w:tcPr>
            <w:tcW w:type="dxa" w:w="6803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Todo painel exportável em Excel e PDF, com layouts oficiais por órgão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Disponibilidade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Janela de manutenção fora dos períodos críticos de fechamento mensal</w:t>
            </w:r>
          </w:p>
        </w:tc>
      </w:tr>
      <w:tr>
        <w:tc>
          <w:tcPr>
            <w:tcW w:type="dxa" w:w="2268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LGPD</w:t>
            </w:r>
          </w:p>
        </w:tc>
        <w:tc>
          <w:tcPr>
            <w:tcW w:type="dxa" w:w="6803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Controle de acesso, minimização e trilha de consulta sobre dados de pessoas físicas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19"/>
              </w:rPr>
              <w:t>Usabilidade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Telas em grade com edição em linha, cópia/cola e atalhos — a equipe vem do Excel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</w:pPr>
      <w:r>
        <w:rPr>
          <w:b/>
          <w:color w:val="1F3B63"/>
          <w:sz w:val="32"/>
        </w:rPr>
        <w:t>11. Premissas e responsabilidades</w:t>
      </w:r>
    </w:p>
    <w:p>
      <w:pPr>
        <w:spacing w:before="280" w:after="120"/>
      </w:pPr>
      <w:r>
        <w:rPr>
          <w:b/>
          <w:color w:val="1F3B63"/>
          <w:sz w:val="25"/>
        </w:rPr>
        <w:t>Responsabilidades da Neuon Soluções</w:t>
      </w:r>
    </w:p>
    <w:p>
      <w:pPr>
        <w:pStyle w:val="ListBullet"/>
        <w:spacing w:after="60"/>
      </w:pPr>
      <w:r>
        <w:t>Configuração e parametrização do Sankhya conforme o escopo descrito.</w:t>
      </w:r>
    </w:p>
    <w:p>
      <w:pPr>
        <w:pStyle w:val="ListBullet"/>
        <w:spacing w:after="60"/>
      </w:pPr>
      <w:r>
        <w:t>Desenvolvimento das personalizações e dos módulos novos previstos.</w:t>
      </w:r>
    </w:p>
    <w:p>
      <w:pPr>
        <w:pStyle w:val="ListBullet"/>
        <w:spacing w:after="60"/>
      </w:pPr>
      <w:r>
        <w:t>Execução da migração de dados a partir dos arquivos disponibilizados.</w:t>
      </w:r>
    </w:p>
    <w:p>
      <w:pPr>
        <w:pStyle w:val="ListBullet"/>
        <w:spacing w:after="60"/>
      </w:pPr>
      <w:r>
        <w:t>Construção das integrações listadas no capítulo 8.</w:t>
      </w:r>
    </w:p>
    <w:p>
      <w:pPr>
        <w:pStyle w:val="ListBullet"/>
        <w:spacing w:after="60"/>
      </w:pPr>
      <w:r>
        <w:t>Treinamento das equipes por onda e acompanhamento da entrada em produção.</w:t>
      </w:r>
    </w:p>
    <w:p>
      <w:pPr>
        <w:spacing w:before="280" w:after="120"/>
      </w:pPr>
      <w:r>
        <w:rPr>
          <w:b/>
          <w:color w:val="1F3B63"/>
          <w:sz w:val="25"/>
        </w:rPr>
        <w:t>Responsabilidades do cliente</w:t>
      </w:r>
    </w:p>
    <w:p>
      <w:pPr>
        <w:pStyle w:val="ListBullet"/>
        <w:spacing w:after="60"/>
      </w:pPr>
      <w:r>
        <w:t>Disponibilização dos arquivos-fonte e dos acessos necessários às plataformas dos órgãos e aos bancos.</w:t>
      </w:r>
    </w:p>
    <w:p>
      <w:pPr>
        <w:pStyle w:val="ListBullet"/>
        <w:spacing w:after="60"/>
      </w:pPr>
      <w:r>
        <w:t>Indicação de um responsável por área para validação das regras parametrizadas de cada lei.</w:t>
      </w:r>
    </w:p>
    <w:p>
      <w:pPr>
        <w:pStyle w:val="ListBullet"/>
        <w:spacing w:after="60"/>
      </w:pPr>
      <w:r>
        <w:t>Homologação dos entregáveis ao final de cada onda, dentro do prazo acordado.</w:t>
      </w:r>
    </w:p>
    <w:p>
      <w:pPr>
        <w:pStyle w:val="ListBullet"/>
        <w:spacing w:after="60"/>
      </w:pPr>
      <w:r>
        <w:t>Manutenção dos serviços que permanecem fora do escopo (cálculo de folha e escrituração contábil).</w:t>
      </w:r>
    </w:p>
    <w:p>
      <w:pPr>
        <w:spacing w:before="280" w:after="120"/>
      </w:pPr>
      <w:r>
        <w:rPr>
          <w:b/>
          <w:color w:val="1F3B63"/>
          <w:sz w:val="25"/>
        </w:rPr>
        <w:t>Premissas gerais</w:t>
      </w:r>
    </w:p>
    <w:p>
      <w:pPr>
        <w:pStyle w:val="ListBullet"/>
        <w:spacing w:after="60"/>
      </w:pPr>
      <w:r>
        <w:t>As regras específicas de cada lei de incentivo são cadastradas como parâmetro — leis novas ou alterações de regra não exigem desenvolvimento.</w:t>
      </w:r>
    </w:p>
    <w:p>
      <w:pPr>
        <w:pStyle w:val="ListBullet"/>
        <w:spacing w:after="60"/>
      </w:pPr>
      <w:r>
        <w:t>A solução é dimensionada para cinco vezes o volume atual da operação.</w:t>
      </w:r>
    </w:p>
    <w:p>
      <w:pPr>
        <w:pStyle w:val="ListBullet"/>
        <w:spacing w:after="60"/>
      </w:pPr>
      <w:r>
        <w:t>As ondas são sequenciais; alterações de escopo dentro de uma onda são tratadas por aditivo.</w:t>
      </w:r>
    </w:p>
    <w:p>
      <w:pPr>
        <w:spacing w:before="280" w:after="120"/>
      </w:pPr>
      <w:r>
        <w:rPr>
          <w:b/>
          <w:color w:val="1F3B63"/>
          <w:sz w:val="32"/>
        </w:rPr>
        <w:t>12. Próximos passos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680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5669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Passo</w:t>
            </w:r>
          </w:p>
        </w:tc>
        <w:tc>
          <w:tcPr>
            <w:tcW w:type="dxa" w:w="2721"/>
            <w:shd w:val="clear" w:color="auto" w:fill="1F3B63"/>
          </w:tcPr>
          <w:p>
            <w:r/>
            <w:r>
              <w:rPr>
                <w:b/>
                <w:color w:val="FFFFFF"/>
                <w:sz w:val="19"/>
              </w:rPr>
              <w:t>Responsável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Validação comercial deste escopo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sz w:val="19"/>
              </w:rPr>
              <w:t>Cliente</w:t>
            </w:r>
          </w:p>
        </w:tc>
      </w:tr>
      <w:tr>
        <w:tc>
          <w:tcPr>
            <w:tcW w:type="dxa" w:w="680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5669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Fechamento da proposta comercial e do contrato</w:t>
            </w:r>
          </w:p>
        </w:tc>
        <w:tc>
          <w:tcPr>
            <w:tcW w:type="dxa" w:w="2721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Neuon + Cliente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sz w:val="19"/>
              </w:rPr>
              <w:t>Kick-off e detalhamento funcional da Onda 1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sz w:val="19"/>
              </w:rPr>
              <w:t>Neuon</w:t>
            </w:r>
          </w:p>
        </w:tc>
      </w:tr>
      <w:tr>
        <w:tc>
          <w:tcPr>
            <w:tcW w:type="dxa" w:w="680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5669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Início da implantação da Onda 1</w:t>
            </w:r>
          </w:p>
        </w:tc>
        <w:tc>
          <w:tcPr>
            <w:tcW w:type="dxa" w:w="2721"/>
            <w:shd w:val="clear" w:color="auto" w:fill="E8EDF5"/>
          </w:tcPr>
          <w:p>
            <w:pPr>
              <w:spacing w:after="40"/>
            </w:pPr>
            <w:r/>
            <w:r>
              <w:rPr>
                <w:sz w:val="19"/>
              </w:rPr>
              <w:t>Neuon</w:t>
            </w:r>
          </w:p>
        </w:tc>
      </w:tr>
    </w:tbl>
    <w:p>
      <w:pPr>
        <w:spacing w:after="40"/>
      </w:pPr>
    </w:p>
    <w:p/>
    <w:p>
      <w:pPr>
        <w:spacing w:after="120"/>
        <w:jc w:val="center"/>
      </w:pPr>
      <w:r>
        <w:rPr>
          <w:b w:val="0"/>
          <w:i/>
          <w:color w:val="555F6D"/>
          <w:sz w:val="18"/>
        </w:rPr>
        <w:t>Neuon Soluções — Escopo comercial · versão 1.0 · agosto/2026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