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PROPOSTA DE ESCOPO</w:t>
      </w:r>
    </w:p>
    <w:p>
      <w:pPr>
        <w:pStyle w:val="Heading1"/>
      </w:pPr>
      <w:bookmarkStart w:id="9" w:name="_6dd50494c276a7caeacb0fdfa31908dc4aa7cd6"/>
      <w:r>
        <w:t xml:space="preserve">BPO Financeiro XPTO</w:t>
      </w:r>
      <w:bookmarkEnd w:id="9"/>
    </w:p>
    <w:p>
      <w:pPr>
        <w:pStyle w:val="FirstParagraph"/>
      </w:pPr>
      <w:r>
        <w:t xml:space="preserve">Documento comercial — visão de negócio, escopo, fases e entregáveis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XPTO Serviços Administrativos Ltda.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Responsável pela implantação</w:t>
            </w:r>
          </w:p>
        </w:tc>
        <w:tc>
          <w:tcPr/>
          <w:p>
            <w:pPr>
              <w:pStyle w:val="Compact"/>
            </w:pPr>
            <w:r>
              <w:t xml:space="preserve">Neuon Soluções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Escopo elaborado por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Jonatan Barros — Tech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Plataforma-base</w:t>
            </w:r>
          </w:p>
        </w:tc>
        <w:tc>
          <w:tcPr/>
          <w:p>
            <w:pPr>
              <w:pStyle w:val="Compact"/>
            </w:pPr>
            <w:r>
              <w:t xml:space="preserve">Sankhya (ERP) + módulos de personalização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Esforço total estimado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 horas</w:t>
            </w:r>
            <w:r>
              <w:t xml:space="preserve">, em 1 onda de entrega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Versão do documento</w:t>
            </w:r>
          </w:p>
        </w:tc>
        <w:tc>
          <w:tcPr/>
          <w:p>
            <w:pPr>
              <w:pStyle w:val="Compact"/>
            </w:pPr>
            <w:r>
              <w:t xml:space="preserve">1.0 — outubro/2026</w:t>
            </w:r>
          </w:p>
        </w:tc>
      </w:tr>
    </w:tbl>
    <w:p>
      <w:pPr>
        <w:pStyle w:val="FirstParagraph"/>
      </w:pPr>
      <w:r>
        <w:t xml:space="preserve">Documento elaborado a partir da reunião de levantamento com a área administrativa da XPTO, da análise das 4 planilhas de controle hoje em uso (11 abas) e do inventário das 3 carteiras atendidas em outubro de 2026.</w:t>
      </w:r>
    </w:p>
    <w:p>
      <w:pPr>
        <w:pStyle w:val="Heading2"/>
      </w:pPr>
      <w:bookmarkStart w:id="10" w:name="_211a37d456ed8961764dbce20502624402f882e"/>
      <w:r>
        <w:t xml:space="preserve">1. Sumário executivo</w:t>
      </w:r>
      <w:bookmarkEnd w:id="10"/>
    </w:p>
    <w:p>
      <w:pPr>
        <w:pStyle w:val="FirstParagraph"/>
      </w:pPr>
      <w:r>
        <w:t xml:space="preserve">A XPTO presta serviços administrativos e está estruturando uma frente de BPO financeiro: assumir, para empresas clientes, a rotina de contas a pagar — recebimento de documentos, conferência, aprovação, programação de pagamento e prestação de contas. Hoje três carteiras já são atendidas nesse modelo, operadas em planilhas separadas por cliente.</w:t>
      </w:r>
    </w:p>
    <w:p>
      <w:pPr>
        <w:pStyle w:val="BodyText"/>
      </w:pPr>
      <w:r>
        <w:t xml:space="preserve">O modelo em planilha chegou ao limite no ponto em que a XPTO deixou de operar o próprio dinheiro e passou a operar o dinheiro de terceiros. Cada carteira tem sua planilha, sua nomenclatura e seu histórico, e a segregação entre uma carteira e outra depende de quem abre o arquivo. Não existe registro de quem aprovou um pagamento, o mesmo documento de fornecedor pode ser lançado duas vezes sem que nada impeça, e a prestação de contas é remontada manualmente a cada mês, em formato diferente para cada cliente atendido. O risco deixou de ser retrabalho e passou a ser responsabilidade sobre recurso de terceiro.</w:t>
      </w:r>
    </w:p>
    <w:p>
      <w:pPr>
        <w:pStyle w:val="BodyText"/>
      </w:pPr>
      <w:r>
        <w:t xml:space="preserve">Esta fase implanta o núcleo da operação de BPO sobre a plataforma Sankhya: a carteira do cliente atendido passa a ser uma entidade do sistema, com acesso segregado, o título de fornecedor entra uma única vez e com duplicidade bloqueada na origem, o pagamento acima de faixa definida não é liberado sem aprovação registrada, e a posição de cada carteira é extraída em formato único. O escopo cobre uma carteira-piloto em produção assistida; as demais entram por cadastro, sem novo desenvolvimento.</w:t>
      </w:r>
    </w:p>
    <w:p>
      <w:pPr>
        <w:pStyle w:val="BodyText"/>
      </w:pPr>
      <w:r>
        <w:rPr>
          <w:b/>
          <w:bCs/>
        </w:rPr>
        <w:t xml:space="preserve">Os cinco ganhos centrais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Ganho</w:t>
            </w:r>
          </w:p>
        </w:tc>
        <w:tc>
          <w:tcPr/>
          <w:p>
            <w:pPr>
              <w:pStyle w:val="Compact"/>
            </w:pPr>
            <w:r>
              <w:t xml:space="preserve">O que muda na prática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Carteira como entidade, não como arquivo</w:t>
            </w:r>
          </w:p>
        </w:tc>
        <w:tc>
          <w:tcPr/>
          <w:p>
            <w:pPr>
              <w:pStyle w:val="Compact"/>
            </w:pPr>
            <w:r>
              <w:t xml:space="preserve">A separação entre o dinheiro de um cliente e de outro é imposta pelo sistema, não pela disciplina de quem abre a planilha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Duplicidade vira bloqueio</w:t>
            </w:r>
          </w:p>
        </w:tc>
        <w:tc>
          <w:tcPr/>
          <w:p>
            <w:pPr>
              <w:pStyle w:val="Compact"/>
            </w:pPr>
            <w:r>
              <w:t xml:space="preserve">O segundo lançamento do mesmo documento do mesmo fornecedor é recusado no ato, em vez de ser descoberto na conferência do mês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Aprovação com autor e data</w:t>
            </w:r>
          </w:p>
        </w:tc>
        <w:tc>
          <w:tcPr/>
          <w:p>
            <w:pPr>
              <w:pStyle w:val="Compact"/>
            </w:pPr>
            <w:r>
              <w:t xml:space="preserve">Todo pagamento acima da faixa tem quem aprovou registrado; a XPTO responde ao cliente atendido com evidência, não com memória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Operador vê só o que opera</w:t>
            </w:r>
          </w:p>
        </w:tc>
        <w:tc>
          <w:tcPr/>
          <w:p>
            <w:pPr>
              <w:pStyle w:val="Compact"/>
            </w:pPr>
            <w:r>
              <w:t xml:space="preserve">O acesso acompanha a carteira atribuída, e a saída de um colaborador não exige refazer controle de arquivo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Prestação de contas padronizada</w:t>
            </w:r>
          </w:p>
        </w:tc>
        <w:tc>
          <w:tcPr/>
          <w:p>
            <w:pPr>
              <w:pStyle w:val="Compact"/>
            </w:pPr>
            <w:r>
              <w:t xml:space="preserve">A posição da carteira sai no mesmo formato para todos os clientes atendidos, em vez de ser remontada mês a mês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Números do desafio atual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Situação hoje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Carteiras atendidas</w:t>
            </w:r>
          </w:p>
        </w:tc>
        <w:tc>
          <w:tcPr/>
          <w:p>
            <w:pPr>
              <w:pStyle w:val="Compact"/>
            </w:pPr>
            <w:r>
              <w:t xml:space="preserve">3, em 4 planilhas distintas (11 abas)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Títulos processados por mês</w:t>
            </w:r>
          </w:p>
        </w:tc>
        <w:tc>
          <w:tcPr/>
          <w:p>
            <w:pPr>
              <w:pStyle w:val="Compact"/>
            </w:pPr>
            <w:r>
              <w:t xml:space="preserve">aproximadamente 420, somadas as três carteiras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Lançamentos em duplicidade identificados no último trimestre</w:t>
            </w:r>
          </w:p>
        </w:tc>
        <w:tc>
          <w:tcPr/>
          <w:p>
            <w:pPr>
              <w:pStyle w:val="Compact"/>
            </w:pPr>
            <w:r>
              <w:t xml:space="preserve">7, todos encontrados na conferência posterior ao pagamento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de aprovação de pagamento</w:t>
            </w:r>
          </w:p>
        </w:tc>
        <w:tc>
          <w:tcPr/>
          <w:p>
            <w:pPr>
              <w:pStyle w:val="Compact"/>
            </w:pPr>
            <w:r>
              <w:t xml:space="preserve">inexistente; a autorização circula por mensagem e e-mail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de montagem da prestação de contas</w:t>
            </w:r>
          </w:p>
        </w:tc>
        <w:tc>
          <w:tcPr/>
          <w:p>
            <w:pPr>
              <w:pStyle w:val="Compact"/>
            </w:pPr>
            <w:r>
              <w:t xml:space="preserve">2 dias úteis por carteira, ao fim de cada mês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Formatos de prestação de contas em uso</w:t>
            </w:r>
          </w:p>
        </w:tc>
        <w:tc>
          <w:tcPr/>
          <w:p>
            <w:pPr>
              <w:pStyle w:val="Compact"/>
            </w:pPr>
            <w:r>
              <w:t xml:space="preserve">3 — um por cliente atendido</w:t>
            </w:r>
          </w:p>
        </w:tc>
      </w:tr>
    </w:tbl>
    <w:p>
      <w:pPr>
        <w:pStyle w:val="Heading2"/>
      </w:pPr>
      <w:bookmarkStart w:id="11" w:name="_c2279217ec5b2b6e13e47ac40e2eb39c149cd75"/>
      <w:r>
        <w:t xml:space="preserve">2. O problema que o projeto resolve</w:t>
      </w:r>
      <w:bookmarkEnd w:id="1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 identificada</w:t>
            </w:r>
          </w:p>
        </w:tc>
        <w:tc>
          <w:tcPr/>
          <w:p>
            <w:pPr>
              <w:pStyle w:val="Compact"/>
            </w:pPr>
            <w:r>
              <w:t xml:space="preserve">Risco para o negócio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 carteira atendida é uma planilha própria, com nomenclatura própria</w:t>
            </w:r>
          </w:p>
        </w:tc>
        <w:tc>
          <w:tcPr/>
          <w:p>
            <w:pPr>
              <w:pStyle w:val="Compact"/>
            </w:pPr>
            <w:r>
              <w:t xml:space="preserve">Erro de atribuição entre carteiras; pagamento feito com o recurso do cliente errado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Nada impede o mesmo documento de fornecedor de ser lançado duas vezes</w:t>
            </w:r>
          </w:p>
        </w:tc>
        <w:tc>
          <w:tcPr/>
          <w:p>
            <w:pPr>
              <w:pStyle w:val="Compact"/>
            </w:pPr>
            <w:r>
              <w:t xml:space="preserve">Pagamento em duplicidade com recurso de terceiro, descoberto só na conferência posterior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autorização de pagamento circula por mensagem e e-mail</w:t>
            </w:r>
          </w:p>
        </w:tc>
        <w:tc>
          <w:tcPr/>
          <w:p>
            <w:pPr>
              <w:pStyle w:val="Compact"/>
            </w:pPr>
            <w:r>
              <w:t xml:space="preserve">A XPTO não consegue demonstrar ao cliente atendido quem autorizou cada saída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acesso ao controle é o acesso ao arquivo</w:t>
            </w:r>
          </w:p>
        </w:tc>
        <w:tc>
          <w:tcPr/>
          <w:p>
            <w:pPr>
              <w:pStyle w:val="Compact"/>
            </w:pPr>
            <w:r>
              <w:t xml:space="preserve">Qualquer operador alcança qualquer carteira; a segregação depende de confiança, não de regra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prestação de contas é remontada manualmente por carteira</w:t>
            </w:r>
          </w:p>
        </w:tc>
        <w:tc>
          <w:tcPr/>
          <w:p>
            <w:pPr>
              <w:pStyle w:val="Compact"/>
            </w:pPr>
            <w:r>
              <w:t xml:space="preserve">Dois dias úteis por carteira por mês, e o formato muda conforme quem monta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histórico vive na planilha e no e-mail, em paralelo</w:t>
            </w:r>
          </w:p>
        </w:tc>
        <w:tc>
          <w:tcPr/>
          <w:p>
            <w:pPr>
              <w:pStyle w:val="Compact"/>
            </w:pPr>
            <w:r>
              <w:t xml:space="preserve">Na contestação de um lançamento, a reconstituição do que aconteceu depende de busca manual</w:t>
            </w:r>
          </w:p>
        </w:tc>
      </w:tr>
    </w:tbl>
    <w:p>
      <w:pPr>
        <w:pStyle w:val="FirstParagraph"/>
      </w:pPr>
      <w:r>
        <w:t xml:space="preserve">A raiz é comum: a planilha registra o resultado da operação, mas não impõe a regra. Ela aceita o lançamento duplicado, aceita o pagamento sem aprovação e aceita ser aberta por quem não deveria — e por isso a confiabilidade da operação de BPO depende hoje da atenção individual de cada operador, não do processo.</w:t>
      </w:r>
    </w:p>
    <w:p>
      <w:pPr>
        <w:pStyle w:val="Heading2"/>
      </w:pPr>
      <w:bookmarkStart w:id="12" w:name="_4171d339df3078e52cc93a786881864089ccd4e"/>
      <w:r>
        <w:t xml:space="preserve">3. Princípios que orientam a solução</w:t>
      </w:r>
      <w:bookmarkEnd w:id="1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Princípio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recurso de terceiro não se mistura</w:t>
            </w:r>
          </w:p>
        </w:tc>
        <w:tc>
          <w:tcPr/>
          <w:p>
            <w:pPr>
              <w:pStyle w:val="Compact"/>
            </w:pPr>
            <w:r>
              <w:t xml:space="preserve">Toda movimentação pertence a uma carteira identificada, e nenhum lançamento existe sem essa identificação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regra impede, não avisa</w:t>
            </w:r>
          </w:p>
        </w:tc>
        <w:tc>
          <w:tcPr/>
          <w:p>
            <w:pPr>
              <w:pStyle w:val="Compact"/>
            </w:pPr>
            <w:r>
              <w:t xml:space="preserve">Duplicidade e pagamento fora de alçada são recusados no momento do lançamento, não apontados depois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Quem autorizou fica registrado</w:t>
            </w:r>
          </w:p>
        </w:tc>
        <w:tc>
          <w:tcPr/>
          <w:p>
            <w:pPr>
              <w:pStyle w:val="Compact"/>
            </w:pPr>
            <w:r>
              <w:t xml:space="preserve">Autorização sem autor e data registrados não é autorização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Acesso acompanha a atribuição</w:t>
            </w:r>
          </w:p>
        </w:tc>
        <w:tc>
          <w:tcPr/>
          <w:p>
            <w:pPr>
              <w:pStyle w:val="Compact"/>
            </w:pPr>
            <w:r>
              <w:t xml:space="preserve">O operador alcança a carteira que opera, e nada além dela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 carteira entra por cadastro</w:t>
            </w:r>
          </w:p>
        </w:tc>
        <w:tc>
          <w:tcPr/>
          <w:p>
            <w:pPr>
              <w:pStyle w:val="Compact"/>
            </w:pPr>
            <w:r>
              <w:t xml:space="preserve">Assumir um novo cliente atendido é operação administrativa, não projeto de sistema</w:t>
            </w:r>
          </w:p>
        </w:tc>
      </w:tr>
    </w:tbl>
    <w:p>
      <w:pPr>
        <w:pStyle w:val="Heading2"/>
      </w:pPr>
      <w:bookmarkStart w:id="13" w:name="_22274061269b07af7887fd6919ab63eb04cd6a0"/>
      <w:r>
        <w:t xml:space="preserve">4. Escopo da solução</w:t>
      </w:r>
      <w:bookmarkEnd w:id="13"/>
    </w:p>
    <w:p>
      <w:pPr>
        <w:pStyle w:val="Heading3"/>
      </w:pPr>
      <w:bookmarkStart w:id="14" w:name="_1b231d8e5493ec38d45f4e82d11a4e0670cfe7b"/>
      <w:r>
        <w:t xml:space="preserve">4.1 Blocos incluídos</w:t>
      </w:r>
      <w:bookmarkEnd w:id="1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Bloco</w:t>
            </w:r>
          </w:p>
        </w:tc>
        <w:tc>
          <w:tcPr/>
          <w:p>
            <w:pPr>
              <w:pStyle w:val="Compact"/>
            </w:pPr>
            <w:r>
              <w:t xml:space="preserve">O que contempla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Carteira de clientes atendidos</w:t>
            </w:r>
          </w:p>
        </w:tc>
        <w:tc>
          <w:tcPr/>
          <w:p>
            <w:pPr>
              <w:pStyle w:val="Compact"/>
            </w:pPr>
            <w:r>
              <w:t xml:space="preserve">Cadastro da carteira, identificação obrigatória da carteira em toda movimentação financeira, isolamento da informação por carteira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Contas a pagar da operação</w:t>
            </w:r>
          </w:p>
        </w:tc>
        <w:tc>
          <w:tcPr/>
          <w:p>
            <w:pPr>
              <w:pStyle w:val="Compact"/>
            </w:pPr>
            <w:r>
              <w:t xml:space="preserve">Rotina de entrada do título de fornecedor, conferência, programação de pagamento e baixa, com bloqueio de duplicidade por fornecedor, documento e carteira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Alçada de aprovação</w:t>
            </w:r>
          </w:p>
        </w:tc>
        <w:tc>
          <w:tcPr/>
          <w:p>
            <w:pPr>
              <w:pStyle w:val="Compact"/>
            </w:pPr>
            <w:r>
              <w:t xml:space="preserve">Faixas de valor por carteira, aprovação registrada com autor e data, impedimento de liberação acima da faixa sem aprovação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Acesso segregado</w:t>
            </w:r>
          </w:p>
        </w:tc>
        <w:tc>
          <w:tcPr/>
          <w:p>
            <w:pPr>
              <w:pStyle w:val="Compact"/>
            </w:pPr>
            <w:r>
              <w:t xml:space="preserve">Perfis de operador de carteira e de supervisão da operação, com a matriz de permissão correspondente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Prestação de contas</w:t>
            </w:r>
          </w:p>
        </w:tc>
        <w:tc>
          <w:tcPr/>
          <w:p>
            <w:pPr>
              <w:pStyle w:val="Compact"/>
            </w:pPr>
            <w:r>
              <w:t xml:space="preserve">Extração da posição da carteira — títulos em aberto, programados e pagos no período — em formato único para todos os clientes atendidos</w:t>
            </w:r>
          </w:p>
        </w:tc>
      </w:tr>
    </w:tbl>
    <w:p>
      <w:pPr>
        <w:pStyle w:val="Heading3"/>
      </w:pPr>
      <w:bookmarkStart w:id="15" w:name="_ffdcf2d9711f6fad872079d09b939d6a8dd653a"/>
      <w:r>
        <w:t xml:space="preserve">4.2 Fora do escopo desta fase</w:t>
      </w:r>
      <w:bookmarkEnd w:id="15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Conciliação bancária automática</w:t>
      </w:r>
      <w:r>
        <w:t xml:space="preserve"> </w:t>
      </w:r>
      <w:r>
        <w:t xml:space="preserve">— a baixa do pagamento é registrada pelo operador; o sistema não recebe nem interpreta retorno bancário nesta fase.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Remessa eletrônica de pagamentos (CNAB ou PIX em lote)</w:t>
      </w:r>
      <w:r>
        <w:t xml:space="preserve"> </w:t>
      </w:r>
      <w:r>
        <w:t xml:space="preserve">— a execução do pagamento permanece no canal bancário que a XPTO já usa; o sistema programa e registra, não transmite.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Contas a receber e faturamento das carteiras atendidas</w:t>
      </w:r>
      <w:r>
        <w:t xml:space="preserve"> </w:t>
      </w:r>
      <w:r>
        <w:t xml:space="preserve">— esta fase cobre a saída, não a entrada de recursos do cliente atendido.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Portal de acesso do cliente atendido</w:t>
      </w:r>
      <w:r>
        <w:t xml:space="preserve"> </w:t>
      </w:r>
      <w:r>
        <w:t xml:space="preserve">— a prestação de contas é entregue pela XPTO ao cliente; o cliente atendido não acessa o sistema nesta fase.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Apuração e entrega de obrigações fiscais e contábeis das carteiras</w:t>
      </w:r>
      <w:r>
        <w:t xml:space="preserve"> </w:t>
      </w:r>
      <w:r>
        <w:t xml:space="preserve">— o sistema registra o pagamento do tributo como título, não calcula nem transmite a obrigação.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Folha de pagamento das empresas atendidas</w:t>
      </w:r>
      <w:r>
        <w:t xml:space="preserve"> </w:t>
      </w:r>
      <w:r>
        <w:t xml:space="preserve">— o sistema consome o resultado da folha como título a pagar, não o calcula.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Captura automática de documento de fornecedor por leitura de arquivo eletrônico</w:t>
      </w:r>
      <w:r>
        <w:t xml:space="preserve"> </w:t>
      </w:r>
      <w:r>
        <w:t xml:space="preserve">— a entrada do título é feita pelo operador nesta fase.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Painel de inteligência de caixa e projeção</w:t>
      </w:r>
      <w:r>
        <w:t xml:space="preserve"> </w:t>
      </w:r>
      <w:r>
        <w:t xml:space="preserve">— a entrega desta fase é a posição do período, não a projeção.</w:t>
      </w:r>
    </w:p>
    <w:p>
      <w:pPr>
        <w:pStyle w:val="FirstParagraph"/>
      </w:pPr>
      <w:r>
        <w:t xml:space="preserve">Cada item acima é escopo de fase posterior, estimado em horas no momento em que for contratado.</w:t>
      </w:r>
    </w:p>
    <w:p>
      <w:pPr>
        <w:pStyle w:val="Heading2"/>
      </w:pPr>
      <w:bookmarkStart w:id="16" w:name="_9a689a54965b1034d9b83ff0ec507ee2708b86d"/>
      <w:r>
        <w:t xml:space="preserve">5. Módulos da solução</w:t>
      </w:r>
      <w:bookmarkEnd w:id="1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Entrega de negócio</w:t>
            </w:r>
          </w:p>
        </w:tc>
        <w:tc>
          <w:tcPr/>
          <w:p>
            <w:pPr>
              <w:pStyle w:val="Compact"/>
            </w:pPr>
            <w:r>
              <w:t xml:space="preserve">Horas estimadas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M01 · Carteira de clientes atendidos</w:t>
            </w:r>
          </w:p>
        </w:tc>
        <w:tc>
          <w:tcPr/>
          <w:p>
            <w:pPr>
              <w:pStyle w:val="Compact"/>
            </w:pPr>
            <w:r>
              <w:t xml:space="preserve">Cada empresa atendida é uma carteira isolada no sistema, criada por cadastro</w:t>
            </w:r>
          </w:p>
        </w:tc>
        <w:tc>
          <w:tcPr/>
          <w:p>
            <w:pPr>
              <w:pStyle w:val="Compact"/>
            </w:pPr>
            <w:r>
              <w:t xml:space="preserve">12,5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M02 · Contas a pagar da operação</w:t>
            </w:r>
          </w:p>
        </w:tc>
        <w:tc>
          <w:tcPr/>
          <w:p>
            <w:pPr>
              <w:pStyle w:val="Compact"/>
            </w:pPr>
            <w:r>
              <w:t xml:space="preserve">O título entra uma única vez; a duplicidade é bloqueio, não conferência posterior</w:t>
            </w:r>
          </w:p>
        </w:tc>
        <w:tc>
          <w:tcPr/>
          <w:p>
            <w:pPr>
              <w:pStyle w:val="Compact"/>
            </w:pPr>
            <w:r>
              <w:t xml:space="preserve">19,5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M03 · Alçada de aprovação</w:t>
            </w:r>
          </w:p>
        </w:tc>
        <w:tc>
          <w:tcPr/>
          <w:p>
            <w:pPr>
              <w:pStyle w:val="Compact"/>
            </w:pPr>
            <w:r>
              <w:t xml:space="preserve">Pagamento acima da faixa não é liberado sem aprovação registrada com autor e data</w:t>
            </w:r>
          </w:p>
        </w:tc>
        <w:tc>
          <w:tcPr/>
          <w:p>
            <w:pPr>
              <w:pStyle w:val="Compact"/>
            </w:pPr>
            <w:r>
              <w:t xml:space="preserve">14,0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M04 · Acesso segregado</w:t>
            </w:r>
          </w:p>
        </w:tc>
        <w:tc>
          <w:tcPr/>
          <w:p>
            <w:pPr>
              <w:pStyle w:val="Compact"/>
            </w:pPr>
            <w:r>
              <w:t xml:space="preserve">O operador alcança apenas a carteira que opera</w:t>
            </w:r>
          </w:p>
        </w:tc>
        <w:tc>
          <w:tcPr/>
          <w:p>
            <w:pPr>
              <w:pStyle w:val="Compact"/>
            </w:pPr>
            <w:r>
              <w:t xml:space="preserve">7,0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M05 · Prestação de contas</w:t>
            </w:r>
          </w:p>
        </w:tc>
        <w:tc>
          <w:tcPr/>
          <w:p>
            <w:pPr>
              <w:pStyle w:val="Compact"/>
            </w:pPr>
            <w:r>
              <w:t xml:space="preserve">A posição da carteira é extraída em formato único, em minutos</w:t>
            </w:r>
          </w:p>
        </w:tc>
        <w:tc>
          <w:tcPr/>
          <w:p>
            <w:pPr>
              <w:pStyle w:val="Compact"/>
            </w:pPr>
            <w:r>
              <w:t xml:space="preserve">7,0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60,0</w:t>
            </w:r>
          </w:p>
        </w:tc>
      </w:tr>
    </w:tbl>
    <w:p>
      <w:pPr>
        <w:pStyle w:val="FirstParagraph"/>
      </w:pPr>
      <w:r>
        <w:t xml:space="preserve">M01 e M04 são transversais: a identificação da carteira e a segregação de acesso sustentam todos os demais módulos e por isso são implantados primeiro.</w:t>
      </w:r>
    </w:p>
    <w:p>
      <w:pPr>
        <w:pStyle w:val="Heading2"/>
      </w:pPr>
      <w:bookmarkStart w:id="17" w:name="_2f8000432cb52ea1b29e126719121eeeddc7b90"/>
      <w:r>
        <w:t xml:space="preserve">6. Aproveitamento da plataforma e esforço de personalização</w:t>
      </w:r>
      <w:bookmarkEnd w:id="17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Necessidade</w:t>
            </w:r>
          </w:p>
        </w:tc>
        <w:tc>
          <w:tcPr/>
          <w:p>
            <w:pPr>
              <w:pStyle w:val="Compact"/>
            </w:pPr>
            <w:r>
              <w:t xml:space="preserve">Plataforma padrão</w:t>
            </w:r>
          </w:p>
        </w:tc>
        <w:tc>
          <w:tcPr/>
          <w:p>
            <w:pPr>
              <w:pStyle w:val="Compact"/>
            </w:pPr>
            <w:r>
              <w:t xml:space="preserve">Esforço de personalização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Cadastro de fornecedores e rotina de contas a pagar</w:t>
            </w:r>
          </w:p>
        </w:tc>
        <w:tc>
          <w:tcPr/>
          <w:p>
            <w:pPr>
              <w:pStyle w:val="Compact"/>
            </w:pPr>
            <w:r>
              <w:t xml:space="preserve">Atende</w:t>
            </w:r>
          </w:p>
        </w:tc>
        <w:tc>
          <w:tcPr/>
          <w:p>
            <w:pPr>
              <w:pStyle w:val="Compact"/>
            </w:pPr>
            <w:r>
              <w:t xml:space="preserve">Configuração da rotina para o modelo de BPO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Programação e baixa de pagamento</w:t>
            </w:r>
          </w:p>
        </w:tc>
        <w:tc>
          <w:tcPr/>
          <w:p>
            <w:pPr>
              <w:pStyle w:val="Compact"/>
            </w:pPr>
            <w:r>
              <w:t xml:space="preserve">Atende</w:t>
            </w:r>
          </w:p>
        </w:tc>
        <w:tc>
          <w:tcPr/>
          <w:p>
            <w:pPr>
              <w:pStyle w:val="Compact"/>
            </w:pPr>
            <w:r>
              <w:t xml:space="preserve">Configuração, sem desenvolvimento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Perfis de acesso e matriz de permissão</w:t>
            </w:r>
          </w:p>
        </w:tc>
        <w:tc>
          <w:tcPr/>
          <w:p>
            <w:pPr>
              <w:pStyle w:val="Compact"/>
            </w:pPr>
            <w:r>
              <w:t xml:space="preserve">Atende</w:t>
            </w:r>
          </w:p>
        </w:tc>
        <w:tc>
          <w:tcPr/>
          <w:p>
            <w:pPr>
              <w:pStyle w:val="Compact"/>
            </w:pPr>
            <w:r>
              <w:t xml:space="preserve">Configuração dos dois perfis da operação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Identificação da carteira do cliente atendido em toda movimentação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Extensão do cadastro financeiro e obrigatoriedade da informação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Isolamento da informação entre carteiras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Regra de restrição por carteira atribuída ao operador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Bloqueio de duplicidade por fornecedor, documento e carteira</w:t>
            </w:r>
          </w:p>
        </w:tc>
        <w:tc>
          <w:tcPr/>
          <w:p>
            <w:pPr>
              <w:pStyle w:val="Compact"/>
            </w:pPr>
            <w:r>
              <w:t xml:space="preserve">Insuficiente</w:t>
            </w:r>
          </w:p>
        </w:tc>
        <w:tc>
          <w:tcPr/>
          <w:p>
            <w:pPr>
              <w:pStyle w:val="Compact"/>
            </w:pPr>
            <w:r>
              <w:t xml:space="preserve">Regra de validação própria na entrada do título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Aprovação por faixa de valor com autor e data registrados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Fluxo de alçada configurado por carteira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Prestação de contas em formato único por carteira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Extração padronizada sobre a informação da rotina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Natureza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Onde se concentra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Aproveitamento do padrão</w:t>
            </w:r>
          </w:p>
        </w:tc>
        <w:tc>
          <w:tcPr/>
          <w:p>
            <w:pPr>
              <w:pStyle w:val="Compact"/>
            </w:pPr>
            <w:r>
              <w:t xml:space="preserve">26,0</w:t>
            </w:r>
          </w:p>
        </w:tc>
        <w:tc>
          <w:tcPr/>
          <w:p>
            <w:pPr>
              <w:pStyle w:val="Compact"/>
            </w:pPr>
            <w:r>
              <w:t xml:space="preserve">43,3%</w:t>
            </w:r>
          </w:p>
        </w:tc>
        <w:tc>
          <w:tcPr/>
          <w:p>
            <w:pPr>
              <w:pStyle w:val="Compact"/>
            </w:pPr>
            <w:r>
              <w:t xml:space="preserve">Contas a pagar, cadastro de fornecedores, programação de pagamento, perfis de acesso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Adaptação de recursos existentes</w:t>
            </w:r>
          </w:p>
        </w:tc>
        <w:tc>
          <w:tcPr/>
          <w:p>
            <w:pPr>
              <w:pStyle w:val="Compact"/>
            </w:pPr>
            <w:r>
              <w:t xml:space="preserve">20,5</w:t>
            </w:r>
          </w:p>
        </w:tc>
        <w:tc>
          <w:tcPr/>
          <w:p>
            <w:pPr>
              <w:pStyle w:val="Compact"/>
            </w:pPr>
            <w:r>
              <w:t xml:space="preserve">34,2%</w:t>
            </w:r>
          </w:p>
        </w:tc>
        <w:tc>
          <w:tcPr/>
          <w:p>
            <w:pPr>
              <w:pStyle w:val="Compact"/>
            </w:pPr>
            <w:r>
              <w:t xml:space="preserve">Identificação da carteira, alçada de aprovação, extração da prestação de contas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Desenvolvimento novo</w:t>
            </w:r>
          </w:p>
        </w:tc>
        <w:tc>
          <w:tcPr/>
          <w:p>
            <w:pPr>
              <w:pStyle w:val="Compact"/>
            </w:pPr>
            <w:r>
              <w:t xml:space="preserve">13,5</w:t>
            </w:r>
          </w:p>
        </w:tc>
        <w:tc>
          <w:tcPr/>
          <w:p>
            <w:pPr>
              <w:pStyle w:val="Compact"/>
            </w:pPr>
            <w:r>
              <w:t xml:space="preserve">22,5%</w:t>
            </w:r>
          </w:p>
        </w:tc>
        <w:tc>
          <w:tcPr/>
          <w:p>
            <w:pPr>
              <w:pStyle w:val="Compact"/>
            </w:pPr>
            <w:r>
              <w:t xml:space="preserve">Bloqueio de duplicidade e isolamento da informação por carteira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60,0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t xml:space="preserve">Dois terços do esforço se apoiam no que a plataforma já faz. O desenvolvimento novo se concentra exatamente nos dois pontos que a planilha não consegue impor: impedir o lançamento duplicado e isolar o recurso de cada cliente atendido.</w:t>
      </w:r>
    </w:p>
    <w:p>
      <w:pPr>
        <w:pStyle w:val="Heading2"/>
      </w:pPr>
      <w:bookmarkStart w:id="18" w:name="_29bc44ebd603afc87f947ce37bd5cc2fcafc587"/>
      <w:r>
        <w:t xml:space="preserve">7. Roadmap de implantação</w:t>
      </w:r>
      <w:bookmarkEnd w:id="18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Onda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  <w:tc>
          <w:tcPr/>
          <w:p>
            <w:pPr>
              <w:pStyle w:val="Compact"/>
            </w:pPr>
            <w:r>
              <w:t xml:space="preserve">Entregável de negócio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· Operação de BPO em produção</w:t>
            </w:r>
          </w:p>
        </w:tc>
        <w:tc>
          <w:tcPr/>
          <w:p>
            <w:pPr>
              <w:pStyle w:val="Compact"/>
            </w:pPr>
            <w:r>
              <w:t xml:space="preserve">60,0</w:t>
            </w:r>
          </w:p>
        </w:tc>
        <w:tc>
          <w:tcPr/>
          <w:p>
            <w:pPr>
              <w:pStyle w:val="Compact"/>
            </w:pPr>
            <w:r>
              <w:t xml:space="preserve">M01 · M02 · M03 · M04 · M05, sobre uma carteira-piloto</w:t>
            </w:r>
          </w:p>
        </w:tc>
        <w:tc>
          <w:tcPr/>
          <w:p>
            <w:pPr>
              <w:pStyle w:val="Compact"/>
            </w:pPr>
            <w:r>
              <w:t xml:space="preserve">A equipe para de operar o dinheiro do cliente em planilha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60,0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t xml:space="preserve">A implantação é uma onda única por decisão de escopo: os cinco módulos formam o menor conjunto que coloca uma carteira em produção com segurança. Dividir a entrega deixaria a carteira-piloto operando parte em sistema e parte em planilha — o pior dos dois modelos.</w:t>
      </w:r>
    </w:p>
    <w:p>
      <w:pPr>
        <w:pStyle w:val="BodyText"/>
      </w:pPr>
      <w:r>
        <w:rPr>
          <w:b/>
          <w:bCs/>
        </w:rPr>
        <w:t xml:space="preserve">Distribuição por fase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Onda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· Operação de BPO em produção</w:t>
            </w:r>
          </w:p>
        </w:tc>
        <w:tc>
          <w:tcPr/>
          <w:p>
            <w:pPr>
              <w:pStyle w:val="Compact"/>
            </w:pPr>
            <w:r>
              <w:t xml:space="preserve">6,0</w:t>
            </w:r>
          </w:p>
        </w:tc>
        <w:tc>
          <w:tcPr/>
          <w:p>
            <w:pPr>
              <w:pStyle w:val="Compact"/>
            </w:pPr>
            <w:r>
              <w:t xml:space="preserve">12,0</w:t>
            </w:r>
          </w:p>
        </w:tc>
        <w:tc>
          <w:tcPr/>
          <w:p>
            <w:pPr>
              <w:pStyle w:val="Compact"/>
            </w:pPr>
            <w:r>
              <w:t xml:space="preserve">23,0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3,0</w:t>
            </w:r>
          </w:p>
        </w:tc>
        <w:tc>
          <w:tcPr/>
          <w:p>
            <w:pPr>
              <w:pStyle w:val="Compact"/>
            </w:pPr>
            <w:r>
              <w:t xml:space="preserve">8,0</w:t>
            </w:r>
          </w:p>
        </w:tc>
        <w:tc>
          <w:tcPr/>
          <w:p>
            <w:pPr>
              <w:pStyle w:val="Compact"/>
            </w:pPr>
            <w:r>
              <w:t xml:space="preserve">8,0</w:t>
            </w:r>
          </w:p>
        </w:tc>
        <w:tc>
          <w:tcPr/>
          <w:p>
            <w:pPr>
              <w:pStyle w:val="Compact"/>
            </w:pPr>
            <w:r>
              <w:t xml:space="preserve">60,0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6,0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12,0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23,0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8,0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8,0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60,0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Consolidado por fase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  <w:tc>
          <w:tcPr/>
          <w:p>
            <w:pPr>
              <w:pStyle w:val="Compact"/>
            </w:pPr>
            <w:r>
              <w:t xml:space="preserve">% do projeto</w:t>
            </w:r>
          </w:p>
        </w:tc>
        <w:tc>
          <w:tcPr/>
          <w:p>
            <w:pPr>
              <w:pStyle w:val="Compact"/>
            </w:pPr>
            <w:r>
              <w:t xml:space="preserve">Entregável da fase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· Detalhamento funcional</w:t>
            </w:r>
          </w:p>
        </w:tc>
        <w:tc>
          <w:tcPr/>
          <w:p>
            <w:pPr>
              <w:pStyle w:val="Compact"/>
            </w:pPr>
            <w:r>
              <w:t xml:space="preserve">6,0</w:t>
            </w:r>
          </w:p>
        </w:tc>
        <w:tc>
          <w:tcPr/>
          <w:p>
            <w:pPr>
              <w:pStyle w:val="Compact"/>
            </w:pPr>
            <w:r>
              <w:t xml:space="preserve">10,0%</w:t>
            </w:r>
          </w:p>
        </w:tc>
        <w:tc>
          <w:tcPr/>
          <w:p>
            <w:pPr>
              <w:pStyle w:val="Compact"/>
            </w:pPr>
            <w:r>
              <w:t xml:space="preserve">Regras de duplicidade, faixas de alçada e formato da prestação de contas aprovados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 · Parametrização</w:t>
            </w:r>
          </w:p>
        </w:tc>
        <w:tc>
          <w:tcPr/>
          <w:p>
            <w:pPr>
              <w:pStyle w:val="Compact"/>
            </w:pPr>
            <w:r>
              <w:t xml:space="preserve">12,0</w:t>
            </w:r>
          </w:p>
        </w:tc>
        <w:tc>
          <w:tcPr/>
          <w:p>
            <w:pPr>
              <w:pStyle w:val="Compact"/>
            </w:pPr>
            <w:r>
              <w:t xml:space="preserve">20,0%</w:t>
            </w:r>
          </w:p>
        </w:tc>
        <w:tc>
          <w:tcPr/>
          <w:p>
            <w:pPr>
              <w:pStyle w:val="Compact"/>
            </w:pPr>
            <w:r>
              <w:t xml:space="preserve">Ambiente configurado: carteira-piloto, fornecedores, rotina de contas a pagar e perfis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 · Desenvolvimento</w:t>
            </w:r>
          </w:p>
        </w:tc>
        <w:tc>
          <w:tcPr/>
          <w:p>
            <w:pPr>
              <w:pStyle w:val="Compact"/>
            </w:pPr>
            <w:r>
              <w:t xml:space="preserve">23,0</w:t>
            </w:r>
          </w:p>
        </w:tc>
        <w:tc>
          <w:tcPr/>
          <w:p>
            <w:pPr>
              <w:pStyle w:val="Compact"/>
            </w:pPr>
            <w:r>
              <w:t xml:space="preserve">38,3%</w:t>
            </w:r>
          </w:p>
        </w:tc>
        <w:tc>
          <w:tcPr/>
          <w:p>
            <w:pPr>
              <w:pStyle w:val="Compact"/>
            </w:pPr>
            <w:r>
              <w:t xml:space="preserve">Bloqueio de duplicidade, isolamento por carteira, alçada e extração entregues em homologação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 · Integrações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0,0%</w:t>
            </w:r>
          </w:p>
        </w:tc>
        <w:tc>
          <w:tcPr/>
          <w:p>
            <w:pPr>
              <w:pStyle w:val="Compact"/>
            </w:pPr>
            <w:r>
              <w:t xml:space="preserve">Não se aplica nesta onda: conciliação bancária e remessa eletrônica estão fora do escopo desta fase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 · Migração de dados</w:t>
            </w:r>
          </w:p>
        </w:tc>
        <w:tc>
          <w:tcPr/>
          <w:p>
            <w:pPr>
              <w:pStyle w:val="Compact"/>
            </w:pPr>
            <w:r>
              <w:t xml:space="preserve">3,0</w:t>
            </w:r>
          </w:p>
        </w:tc>
        <w:tc>
          <w:tcPr/>
          <w:p>
            <w:pPr>
              <w:pStyle w:val="Compact"/>
            </w:pPr>
            <w:r>
              <w:t xml:space="preserve">5,0%</w:t>
            </w:r>
          </w:p>
        </w:tc>
        <w:tc>
          <w:tcPr/>
          <w:p>
            <w:pPr>
              <w:pStyle w:val="Compact"/>
            </w:pPr>
            <w:r>
              <w:t xml:space="preserve">Fornecedores e títulos em aberto da carteira-piloto conferidos pela XPTO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 · Testes e homologação</w:t>
            </w:r>
          </w:p>
        </w:tc>
        <w:tc>
          <w:tcPr/>
          <w:p>
            <w:pPr>
              <w:pStyle w:val="Compact"/>
            </w:pPr>
            <w:r>
              <w:t xml:space="preserve">8,0</w:t>
            </w:r>
          </w:p>
        </w:tc>
        <w:tc>
          <w:tcPr/>
          <w:p>
            <w:pPr>
              <w:pStyle w:val="Compact"/>
            </w:pPr>
            <w:r>
              <w:t xml:space="preserve">13,3%</w:t>
            </w:r>
          </w:p>
        </w:tc>
        <w:tc>
          <w:tcPr/>
          <w:p>
            <w:pPr>
              <w:pStyle w:val="Compact"/>
            </w:pPr>
            <w:r>
              <w:t xml:space="preserve">Termo de homologação da onda assinado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 · Treinamento e go-live</w:t>
            </w:r>
          </w:p>
        </w:tc>
        <w:tc>
          <w:tcPr/>
          <w:p>
            <w:pPr>
              <w:pStyle w:val="Compact"/>
            </w:pPr>
            <w:r>
              <w:t xml:space="preserve">8,0</w:t>
            </w:r>
          </w:p>
        </w:tc>
        <w:tc>
          <w:tcPr/>
          <w:p>
            <w:pPr>
              <w:pStyle w:val="Compact"/>
            </w:pPr>
            <w:r>
              <w:t xml:space="preserve">13,4%</w:t>
            </w:r>
          </w:p>
        </w:tc>
        <w:tc>
          <w:tcPr/>
          <w:p>
            <w:pPr>
              <w:pStyle w:val="Compact"/>
            </w:pPr>
            <w:r>
              <w:t xml:space="preserve">Operador e supervisor treinados e carteira-piloto em produção assistida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60,0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100,0%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t xml:space="preserve">A parametrização pesa mais que o usual porque a fase é de fundação: boa parte da operação é configuração do que a plataforma já faz, e não desenvolvimento. As horas de integração foram realocadas em desenvolvimento, onde está o esforço real desta onda. O esforço total estimado é de</w:t>
      </w:r>
      <w:r>
        <w:t xml:space="preserve"> </w:t>
      </w:r>
      <w:r>
        <w:rPr>
          <w:b/>
          <w:bCs/>
        </w:rPr>
        <w:t xml:space="preserve">60 horas</w:t>
      </w:r>
      <w:r>
        <w:t xml:space="preserve">, e a captura de valor começa na entrada em produção da carteira-piloto, ao fim da onda.</w:t>
      </w:r>
    </w:p>
    <w:p>
      <w:pPr>
        <w:pStyle w:val="Heading2"/>
      </w:pPr>
      <w:bookmarkStart w:id="19" w:name="_7df761bb5e98f03001c4091079d9ecae16e9959"/>
      <w:r>
        <w:t xml:space="preserve">8. Integrações previstas</w:t>
      </w:r>
      <w:bookmarkEnd w:id="1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Integração</w:t>
            </w:r>
          </w:p>
        </w:tc>
        <w:tc>
          <w:tcPr/>
          <w:p>
            <w:pPr>
              <w:pStyle w:val="Compact"/>
            </w:pPr>
            <w:r>
              <w:t xml:space="preserve">Direção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Carga inicial de fornecedores e títulos em aberto da carteira-piloto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Extração da prestação de contas da carteira em arquivo</w:t>
            </w:r>
          </w:p>
        </w:tc>
        <w:tc>
          <w:tcPr/>
          <w:p>
            <w:pPr>
              <w:pStyle w:val="Compact"/>
            </w:pPr>
            <w:r>
              <w:t xml:space="preserve">Saída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</w:tbl>
    <w:p>
      <w:pPr>
        <w:pStyle w:val="FirstParagraph"/>
      </w:pPr>
      <w:r>
        <w:t xml:space="preserve">As duas integrações desta fase são feitas por arquivo, em lote, sem dependência de serviço de terceiro: a carga inicial é executada uma vez, e a extração da prestação de contas é gerada pelo próprio sistema. Nenhuma data desta onda depende de disponibilização de interface por banco ou por fornecedor de software, o que remove essa classe de risco do cronograma.</w:t>
      </w:r>
    </w:p>
    <w:p>
      <w:pPr>
        <w:pStyle w:val="Heading2"/>
      </w:pPr>
      <w:bookmarkStart w:id="20" w:name="_322570cf28319a08639bf1001ad7e87bd19a2f4"/>
      <w:r>
        <w:t xml:space="preserve">9. Migração de dados</w:t>
      </w:r>
      <w:bookmarkEnd w:id="20"/>
    </w:p>
    <w:p>
      <w:pPr>
        <w:pStyle w:val="FirstParagraph"/>
      </w:pPr>
      <w:r>
        <w:t xml:space="preserve">A migração desta fase cobre</w:t>
      </w:r>
      <w:r>
        <w:t xml:space="preserve"> </w:t>
      </w:r>
      <w:r>
        <w:rPr>
          <w:b/>
          <w:bCs/>
        </w:rPr>
        <w:t xml:space="preserve">dois blocos de carga</w:t>
      </w:r>
      <w:r>
        <w:t xml:space="preserve">, ambos restritos à carteira-piloto:</w:t>
      </w:r>
    </w:p>
    <w:p>
      <w:pPr>
        <w:pStyle w:val="Compact"/>
        <w:numPr>
          <w:ilvl w:val="0"/>
          <w:numId w:val="1002"/>
        </w:numPr>
      </w:pPr>
      <w:r>
        <w:t xml:space="preserve">Cadastro de fornecedores em uso na carteira-piloto.</w:t>
      </w:r>
    </w:p>
    <w:p>
      <w:pPr>
        <w:pStyle w:val="Compact"/>
        <w:numPr>
          <w:ilvl w:val="0"/>
          <w:numId w:val="1002"/>
        </w:numPr>
      </w:pPr>
      <w:r>
        <w:t xml:space="preserve">Títulos em aberto na data de corte, com o saldo a pagar conferido contra a planilha de origem.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Ponto de atenção</w:t>
            </w:r>
          </w:p>
        </w:tc>
        <w:tc>
          <w:tcPr/>
          <w:p>
            <w:pPr>
              <w:pStyle w:val="Compact"/>
            </w:pPr>
            <w:r>
              <w:t xml:space="preserve">Tratamento previsto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mesmo fornecedor aparece grafado de formas diferentes entre planilhas</w:t>
            </w:r>
          </w:p>
        </w:tc>
        <w:tc>
          <w:tcPr/>
          <w:p>
            <w:pPr>
              <w:pStyle w:val="Compact"/>
            </w:pPr>
            <w:r>
              <w:t xml:space="preserve">Unificação por inscrição do fornecedor antes da carga, com a lista de unificações submetida à XPTO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Fornecedor sem inscrição informada na planilha de origem</w:t>
            </w:r>
          </w:p>
        </w:tc>
        <w:tc>
          <w:tcPr/>
          <w:p>
            <w:pPr>
              <w:pStyle w:val="Compact"/>
            </w:pPr>
            <w:r>
              <w:t xml:space="preserve">Carga em lista de pendência, para completar antes da entrada em produção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Títulos já pagos presentes na planilha de origem</w:t>
            </w:r>
          </w:p>
        </w:tc>
        <w:tc>
          <w:tcPr/>
          <w:p>
            <w:pPr>
              <w:pStyle w:val="Compact"/>
            </w:pPr>
            <w:r>
              <w:t xml:space="preserve">Excluídos da carga; a migração leva apenas o que está em aberto na data de corte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Divergência entre o saldo da planilha e o saldo migrado</w:t>
            </w:r>
          </w:p>
        </w:tc>
        <w:tc>
          <w:tcPr/>
          <w:p>
            <w:pPr>
              <w:pStyle w:val="Compact"/>
            </w:pPr>
            <w:r>
              <w:t xml:space="preserve">Conciliação do saldo de abertura com a XPTO, com aprovação formal antes do go-live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Lançamentos em duplicidade existentes na planilha de origem</w:t>
            </w:r>
          </w:p>
        </w:tc>
        <w:tc>
          <w:tcPr/>
          <w:p>
            <w:pPr>
              <w:pStyle w:val="Compact"/>
            </w:pPr>
            <w:r>
              <w:t xml:space="preserve">Identificados e apresentados à XPTO para decisão antes da carga; a regra de bloqueio impede a reentrada</w:t>
            </w:r>
          </w:p>
        </w:tc>
      </w:tr>
    </w:tbl>
    <w:p>
      <w:pPr>
        <w:pStyle w:val="FirstParagraph"/>
      </w:pPr>
      <w:r>
        <w:t xml:space="preserve">São pontos já endereçados no escopo e no esforço desta onda, não riscos em aberto.</w:t>
      </w:r>
    </w:p>
    <w:p>
      <w:pPr>
        <w:pStyle w:val="Heading2"/>
      </w:pPr>
      <w:bookmarkStart w:id="21" w:name="_e4934a2098fb567946b9eadc7f66d517a69b938"/>
      <w:r>
        <w:t xml:space="preserve">10. Compromissos de qualidade da solução</w:t>
      </w:r>
      <w:bookmarkEnd w:id="2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Compromisso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Auditoria</w:t>
            </w:r>
          </w:p>
        </w:tc>
        <w:tc>
          <w:tcPr/>
          <w:p>
            <w:pPr>
              <w:pStyle w:val="Compact"/>
            </w:pPr>
            <w:r>
              <w:t xml:space="preserve">Entrada, alteração, aprovação e baixa de título registram autor, data e hora, consultáveis pela supervisão sem solicitação à Neuon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Isolamento</w:t>
            </w:r>
          </w:p>
        </w:tc>
        <w:tc>
          <w:tcPr/>
          <w:p>
            <w:pPr>
              <w:pStyle w:val="Compact"/>
            </w:pPr>
            <w:r>
              <w:t xml:space="preserve">Nenhuma consulta, extração ou relatório apresenta informação de carteira não atribuída ao usuário conectado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Precisão numérica</w:t>
            </w:r>
          </w:p>
        </w:tc>
        <w:tc>
          <w:tcPr/>
          <w:p>
            <w:pPr>
              <w:pStyle w:val="Compact"/>
            </w:pPr>
            <w:r>
              <w:t xml:space="preserve">Valores em duas casas decimais, sem arredondamento intermediário entre o lançamento e a prestação de contas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Bloqueio de duplicidade</w:t>
            </w:r>
          </w:p>
        </w:tc>
        <w:tc>
          <w:tcPr/>
          <w:p>
            <w:pPr>
              <w:pStyle w:val="Compact"/>
            </w:pPr>
            <w:r>
              <w:t xml:space="preserve">A combinação de fornecedor, número de documento e carteira é única; a segunda tentativa é recusada no ato, com a indicação do lançamento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Guarda documental</w:t>
            </w:r>
          </w:p>
        </w:tc>
        <w:tc>
          <w:tcPr/>
          <w:p>
            <w:pPr>
              <w:pStyle w:val="Compact"/>
            </w:pPr>
            <w:r>
              <w:t xml:space="preserve">O documento anexado ao título permanece acessível a partir do próprio título, sem depender de arquivo em rede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Desempenho</w:t>
            </w:r>
          </w:p>
        </w:tc>
        <w:tc>
          <w:tcPr/>
          <w:p>
            <w:pPr>
              <w:pStyle w:val="Compact"/>
            </w:pPr>
            <w:r>
              <w:t xml:space="preserve">A extração da prestação de contas de uma carteira com até 500 títulos no período responde em até 30 segundos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Exportação</w:t>
            </w:r>
          </w:p>
        </w:tc>
        <w:tc>
          <w:tcPr/>
          <w:p>
            <w:pPr>
              <w:pStyle w:val="Compact"/>
            </w:pPr>
            <w:r>
              <w:t xml:space="preserve">A prestação de contas é exportável em planilha e em PDF, no mesmo formato para todas as carteiras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LGPD</w:t>
            </w:r>
          </w:p>
        </w:tc>
        <w:tc>
          <w:tcPr/>
          <w:p>
            <w:pPr>
              <w:pStyle w:val="Compact"/>
            </w:pPr>
            <w:r>
              <w:t xml:space="preserve">A informação de fornecedores e de carteiras é acessível apenas pelos perfis autorizados, e o acesso fica registrado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Usabilidade</w:t>
            </w:r>
          </w:p>
        </w:tc>
        <w:tc>
          <w:tcPr/>
          <w:p>
            <w:pPr>
              <w:pStyle w:val="Compact"/>
            </w:pPr>
            <w:r>
              <w:t xml:space="preserve">A entrada de um título pelo operador é concluída em uma única tela, sem navegação entre rotinas</w:t>
            </w:r>
          </w:p>
        </w:tc>
      </w:tr>
    </w:tbl>
    <w:p>
      <w:pPr>
        <w:pStyle w:val="Heading2"/>
      </w:pPr>
      <w:bookmarkStart w:id="22" w:name="_1f5ed6e4e9c1c64e7ff8f8f400b3391abef556e"/>
      <w:r>
        <w:t xml:space="preserve">11. Premissas e responsabilidades</w:t>
      </w:r>
      <w:bookmarkEnd w:id="22"/>
    </w:p>
    <w:p>
      <w:pPr>
        <w:pStyle w:val="FirstParagraph"/>
      </w:pPr>
      <w:r>
        <w:rPr>
          <w:b/>
          <w:bCs/>
        </w:rPr>
        <w:t xml:space="preserve">Responsabilidades da Neuon</w:t>
      </w:r>
    </w:p>
    <w:p>
      <w:pPr>
        <w:pStyle w:val="Compact"/>
        <w:numPr>
          <w:ilvl w:val="0"/>
          <w:numId w:val="1003"/>
        </w:numPr>
      </w:pPr>
      <w:r>
        <w:t xml:space="preserve">Detalhamento funcional das regras de duplicidade, das faixas de alçada e do formato da prestação de contas, com aprovação formal da XPTO.</w:t>
      </w:r>
    </w:p>
    <w:p>
      <w:pPr>
        <w:pStyle w:val="Compact"/>
        <w:numPr>
          <w:ilvl w:val="0"/>
          <w:numId w:val="1003"/>
        </w:numPr>
      </w:pPr>
      <w:r>
        <w:t xml:space="preserve">Configuração do ambiente, desenvolvimento dos itens da onda e execução dos dois blocos de carga.</w:t>
      </w:r>
    </w:p>
    <w:p>
      <w:pPr>
        <w:pStyle w:val="Compact"/>
        <w:numPr>
          <w:ilvl w:val="0"/>
          <w:numId w:val="1003"/>
        </w:numPr>
      </w:pPr>
      <w:r>
        <w:t xml:space="preserve">Roteiro de aceite, condução da homologação e correção dos apontamentos dentro do escopo da onda.</w:t>
      </w:r>
    </w:p>
    <w:p>
      <w:pPr>
        <w:pStyle w:val="Compact"/>
        <w:numPr>
          <w:ilvl w:val="0"/>
          <w:numId w:val="1003"/>
        </w:numPr>
      </w:pPr>
      <w:r>
        <w:t xml:space="preserve">Treinamento dos perfis de operador de carteira e de supervisão, e operação assistida na entrada em produção.</w:t>
      </w:r>
    </w:p>
    <w:p>
      <w:pPr>
        <w:pStyle w:val="Compact"/>
        <w:numPr>
          <w:ilvl w:val="0"/>
          <w:numId w:val="1003"/>
        </w:numPr>
      </w:pPr>
      <w:r>
        <w:t xml:space="preserve">Documentação de entrega: manual da operação e registro da parametrização aplicada.</w:t>
      </w:r>
    </w:p>
    <w:p>
      <w:pPr>
        <w:pStyle w:val="FirstParagraph"/>
      </w:pPr>
      <w:r>
        <w:rPr>
          <w:b/>
          <w:bCs/>
        </w:rPr>
        <w:t xml:space="preserve">Responsabilidades da XPTO</w:t>
      </w:r>
    </w:p>
    <w:p>
      <w:pPr>
        <w:pStyle w:val="Compact"/>
        <w:numPr>
          <w:ilvl w:val="0"/>
          <w:numId w:val="1004"/>
        </w:numPr>
      </w:pPr>
      <w:r>
        <w:t xml:space="preserve">Indicação de um responsável pela operação de BPO, com disponibilidade para o detalhamento funcional e para a homologação.</w:t>
      </w:r>
    </w:p>
    <w:p>
      <w:pPr>
        <w:pStyle w:val="Compact"/>
        <w:numPr>
          <w:ilvl w:val="0"/>
          <w:numId w:val="1004"/>
        </w:numPr>
      </w:pPr>
      <w:r>
        <w:t xml:space="preserve">Definição das faixas de valor da alçada e dos aprovadores por carteira, antes do início da parametrização.</w:t>
      </w:r>
    </w:p>
    <w:p>
      <w:pPr>
        <w:pStyle w:val="Compact"/>
        <w:numPr>
          <w:ilvl w:val="0"/>
          <w:numId w:val="1004"/>
        </w:numPr>
      </w:pPr>
      <w:r>
        <w:t xml:space="preserve">Entrega das planilhas de origem da carteira-piloto na data de corte combinada, e complemento das inscrições de fornecedores pendentes.</w:t>
      </w:r>
    </w:p>
    <w:p>
      <w:pPr>
        <w:pStyle w:val="Compact"/>
        <w:numPr>
          <w:ilvl w:val="0"/>
          <w:numId w:val="1004"/>
        </w:numPr>
      </w:pPr>
      <w:r>
        <w:t xml:space="preserve">Conferência e aprovação formal do saldo de abertura migrado antes da entrada em produção.</w:t>
      </w:r>
    </w:p>
    <w:p>
      <w:pPr>
        <w:pStyle w:val="Compact"/>
        <w:numPr>
          <w:ilvl w:val="0"/>
          <w:numId w:val="1004"/>
        </w:numPr>
      </w:pPr>
      <w:r>
        <w:t xml:space="preserve">Disponibilização do ambiente Sankhya e dos acessos necessários à equipe de implantação.</w:t>
      </w:r>
    </w:p>
    <w:p>
      <w:pPr>
        <w:pStyle w:val="Compact"/>
        <w:numPr>
          <w:ilvl w:val="0"/>
          <w:numId w:val="1004"/>
        </w:numPr>
      </w:pPr>
      <w:r>
        <w:t xml:space="preserve">Homologação dentro do prazo de 10 dias úteis.</w:t>
      </w:r>
    </w:p>
    <w:p>
      <w:pPr>
        <w:pStyle w:val="FirstParagraph"/>
      </w:pPr>
      <w:r>
        <w:rPr>
          <w:b/>
          <w:bCs/>
        </w:rPr>
        <w:t xml:space="preserve">Premissas gerais</w:t>
      </w:r>
    </w:p>
    <w:p>
      <w:pPr>
        <w:pStyle w:val="Compact"/>
        <w:numPr>
          <w:ilvl w:val="0"/>
          <w:numId w:val="1005"/>
        </w:numPr>
      </w:pPr>
      <w:r>
        <w:t xml:space="preserve">O esforço desta proposta é expresso em horas:</w:t>
      </w:r>
      <w:r>
        <w:t xml:space="preserve"> </w:t>
      </w:r>
      <w:r>
        <w:rPr>
          <w:b/>
          <w:bCs/>
        </w:rPr>
        <w:t xml:space="preserve">60 horas</w:t>
      </w:r>
      <w:r>
        <w:t xml:space="preserve"> </w:t>
      </w:r>
      <w:r>
        <w:t xml:space="preserve">para a onda única, estimadas item a item sobre o escopo do capítulo 4.1.</w:t>
      </w:r>
    </w:p>
    <w:p>
      <w:pPr>
        <w:pStyle w:val="Compact"/>
        <w:numPr>
          <w:ilvl w:val="0"/>
          <w:numId w:val="1005"/>
        </w:numPr>
      </w:pPr>
      <w:r>
        <w:t xml:space="preserve">A premissa de carga considerada para derivação de prazo, caso venha a ser solicitada, é de 160 horas por mês por frente de trabalho.</w:t>
      </w:r>
    </w:p>
    <w:p>
      <w:pPr>
        <w:pStyle w:val="Compact"/>
        <w:numPr>
          <w:ilvl w:val="0"/>
          <w:numId w:val="1005"/>
        </w:numPr>
      </w:pPr>
      <w:r>
        <w:t xml:space="preserve">O escopo desta fase cobre</w:t>
      </w:r>
      <w:r>
        <w:t xml:space="preserve"> </w:t>
      </w:r>
      <w:r>
        <w:rPr>
          <w:b/>
          <w:bCs/>
        </w:rPr>
        <w:t xml:space="preserve">uma carteira-piloto</w:t>
      </w:r>
      <w:r>
        <w:t xml:space="preserve"> </w:t>
      </w:r>
      <w:r>
        <w:t xml:space="preserve">em produção. As demais carteiras entram por cadastro, sem desenvolvimento adicional, e a operação de cadastro é executada pela própria XPTO após o treinamento.</w:t>
      </w:r>
    </w:p>
    <w:p>
      <w:pPr>
        <w:pStyle w:val="Compact"/>
        <w:numPr>
          <w:ilvl w:val="0"/>
          <w:numId w:val="1005"/>
        </w:numPr>
      </w:pPr>
      <w:r>
        <w:t xml:space="preserve">A onda é considerada entregue com o</w:t>
      </w:r>
      <w:r>
        <w:t xml:space="preserve"> </w:t>
      </w:r>
      <w:r>
        <w:rPr>
          <w:b/>
          <w:bCs/>
        </w:rPr>
        <w:t xml:space="preserve">termo de homologação</w:t>
      </w:r>
      <w:r>
        <w:t xml:space="preserve"> </w:t>
      </w:r>
      <w:r>
        <w:t xml:space="preserve">assinado ao fim da fase de testes e homologação. O prazo de homologação pela XPTO é de 10 dias úteis; silêncio além desse prazo conta como aceite tácito.</w:t>
      </w:r>
    </w:p>
    <w:p>
      <w:pPr>
        <w:pStyle w:val="Compact"/>
        <w:numPr>
          <w:ilvl w:val="0"/>
          <w:numId w:val="1005"/>
        </w:numPr>
      </w:pPr>
      <w:r>
        <w:t xml:space="preserve">Apontamento dentro do escopo da onda é correção e está incluído nas horas previstas. Apontamento fora do escopo da onda é tratado como aditivo, estimado em horas pelo mesmo critério desta proposta.</w:t>
      </w:r>
    </w:p>
    <w:p>
      <w:pPr>
        <w:pStyle w:val="Compact"/>
        <w:numPr>
          <w:ilvl w:val="0"/>
          <w:numId w:val="1005"/>
        </w:numPr>
      </w:pPr>
      <w:r>
        <w:t xml:space="preserve">Alteração de escopo solicitada após a aprovação do detalhamento funcional é tratada como aditivo, com estimativa em horas apresentada antes da execução.</w:t>
      </w:r>
    </w:p>
    <w:p>
      <w:pPr>
        <w:pStyle w:val="Compact"/>
        <w:numPr>
          <w:ilvl w:val="0"/>
          <w:numId w:val="1005"/>
        </w:numPr>
      </w:pPr>
      <w:r>
        <w:t xml:space="preserve">A execução do pagamento permanece no canal bancário atual da XPTO; o sistema programa, registra e comprova, e não transmite pagamento nesta fase.</w:t>
      </w:r>
    </w:p>
    <w:p>
      <w:pPr>
        <w:pStyle w:val="Compact"/>
        <w:numPr>
          <w:ilvl w:val="0"/>
          <w:numId w:val="1005"/>
        </w:numPr>
      </w:pPr>
      <w:r>
        <w:t xml:space="preserve">Os itens do capítulo 4.2 não estão incluídos nas 60 horas e são estimados à parte quando contratados.</w:t>
      </w:r>
    </w:p>
    <w:p>
      <w:pPr>
        <w:pStyle w:val="Compact"/>
        <w:numPr>
          <w:ilvl w:val="0"/>
          <w:numId w:val="1005"/>
        </w:numPr>
      </w:pPr>
      <w:r>
        <w:t xml:space="preserve">A plataforma Sankhya está licenciada e em operação na XPTO; esta proposta cobre implantação e personalização, não licenciamento.</w:t>
      </w:r>
    </w:p>
    <w:p>
      <w:pPr>
        <w:pStyle w:val="Heading2"/>
      </w:pPr>
      <w:bookmarkStart w:id="23" w:name="_14e23123efd8ea59f37e0e31094d7ea5e4cebc6"/>
      <w:r>
        <w:t xml:space="preserve">12. Próximos passos</w:t>
      </w:r>
      <w:bookmarkEnd w:id="2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Passo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Validação comercial deste escopo</w:t>
            </w:r>
          </w:p>
        </w:tc>
        <w:tc>
          <w:tcPr/>
          <w:p>
            <w:pPr>
              <w:pStyle w:val="Compact"/>
            </w:pPr>
            <w:r>
              <w:t xml:space="preserve">XPTO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Fechamento de proposta e contrato</w:t>
            </w:r>
          </w:p>
        </w:tc>
        <w:tc>
          <w:tcPr/>
          <w:p>
            <w:pPr>
              <w:pStyle w:val="Compact"/>
            </w:pPr>
            <w:r>
              <w:t xml:space="preserve">XPTO · Neuon Soluções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Indicação do responsável pela operação e definição das faixas de alçada</w:t>
            </w:r>
          </w:p>
        </w:tc>
        <w:tc>
          <w:tcPr/>
          <w:p>
            <w:pPr>
              <w:pStyle w:val="Compact"/>
            </w:pPr>
            <w:r>
              <w:t xml:space="preserve">XPTO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Kick-off e detalhamento funcional da onda</w:t>
            </w:r>
          </w:p>
        </w:tc>
        <w:tc>
          <w:tcPr/>
          <w:p>
            <w:pPr>
              <w:pStyle w:val="Compact"/>
            </w:pPr>
            <w:r>
              <w:t xml:space="preserve">Neuon Soluções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Início da implantação</w:t>
            </w:r>
          </w:p>
        </w:tc>
        <w:tc>
          <w:tcPr/>
          <w:p>
            <w:pPr>
              <w:pStyle w:val="Compact"/>
            </w:pPr>
            <w:r>
              <w:t xml:space="preserve">Neuon Soluções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Neuon Soluções — Escopo comercial · versão 1.0 · outubro/2026 · elaborado por Jonatan Barros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2563EB"/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2563EB"/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563EB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563EB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2563EB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563EB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2563EB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2563EB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Inter" w:hAnsi="Inter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2026-10-16T22:57:14Z</dcterms:created>
  <dcterms:modified xsi:type="dcterms:W3CDTF">2026-10-16T22:57:14Z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