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4C1D95"/>
          <w:sz w:val="40"/>
          <w:szCs w:val="40"/>
        </w:rPr>
        <w:t xml:space="preserve">Escopo Técnico — CRM Satis</w:t>
      </w:r>
    </w:p>
    <w:p>
      <w:pPr>
        <w:spacing w:after="80"/>
      </w:pPr>
      <w:r>
        <w:rPr>
          <w:i/>
          <w:iCs/>
          <w:sz w:val="22"/>
          <w:szCs w:val="22"/>
        </w:rPr>
        <w:t xml:space="preserve">CRM comercial integrado ao ERP Sankhya, com análises, funil de vendas, mapa de prospecção e assistente de IA</w:t>
      </w:r>
    </w:p>
    <w:p>
      <w:pPr>
        <w:spacing w:after="300"/>
      </w:pPr>
      <w:r>
        <w:rPr>
          <w:color w:val="555555"/>
          <w:sz w:val="20"/>
          <w:szCs w:val="20"/>
        </w:rPr>
        <w:t xml:space="preserve">Versão 1.0 · 16/10/2026 · Estimativa total: 38 horas</w:t>
      </w:r>
    </w:p>
    <w:p>
      <w:pPr>
        <w:pStyle w:val="Heading1"/>
        <w:spacing w:after="120" w:before="240"/>
      </w:pPr>
      <w:r>
        <w:rPr>
          <w:color w:val="4C1D95"/>
        </w:rPr>
        <w:t xml:space="preserve">1. Objetivo</w:t>
      </w:r>
    </w:p>
    <w:p>
      <w:pPr>
        <w:spacing w:after="120"/>
      </w:pPr>
      <w:r>
        <w:rPr>
          <w:sz w:val="22"/>
          <w:szCs w:val="22"/>
        </w:rPr>
        <w:t xml:space="preserve">Entregar à equipe comercial da Satis um CRM que reúne, num só lugar, os números de venda que já existem no ERP Sankhya e a rotina comercial que hoje fica fora dele: funil de oportunidades, agenda de atividades, acompanhamento de metas, prospecção por região e consulta aos dados em linguagem natural.</w:t>
      </w:r>
    </w:p>
    <w:p>
      <w:pPr>
        <w:spacing w:after="120"/>
      </w:pPr>
      <w:r>
        <w:rPr>
          <w:sz w:val="22"/>
          <w:szCs w:val="22"/>
        </w:rPr>
        <w:t xml:space="preserve">Cada usuário enxerga apenas a sua carteira: o vendedor vê os próprios clientes, o gerente vê a equipe dele e a diretoria vê a empresa inteira.</w:t>
      </w:r>
    </w:p>
    <w:p>
      <w:pPr>
        <w:pStyle w:val="Heading1"/>
        <w:spacing w:after="120" w:before="240"/>
      </w:pPr>
      <w:r>
        <w:rPr>
          <w:color w:val="4C1D95"/>
        </w:rPr>
        <w:t xml:space="preserve">2. Visão geral da solução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Aplicação web responsiva (computador, tablet e celular), com login próprio da plataforma (e-mail e senha, Google ou Microsoft).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Fonte dos dados de venda: ERP Sankhya, consultado por integração autenticada (OAuth) no serviço de consultas do ERP (DbExplorer).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Modelo de dados misto: os dados do ERP são copiados para o banco do CRM (tabelas SNK_*), e o funil, as oportunidades e as atividades nascem no próprio CRM (tabelas CRM_*).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Toda leitura e gravação das telas passa por funções no servidor, que conferem quem está chamando antes de devolver ou gravar qualquer dado.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Assistente de IA embutido na aplicação, limitado ao mesmo alcance de dados do usuário que conversa.</w:t>
      </w:r>
    </w:p>
    <w:p>
      <w:pPr>
        <w:pStyle w:val="Heading1"/>
        <w:spacing w:after="120" w:before="240"/>
      </w:pPr>
      <w:r>
        <w:rPr>
          <w:color w:val="4C1D95"/>
        </w:rPr>
        <w:t xml:space="preserve">3. Origem e modelo de dados</w:t>
      </w:r>
    </w:p>
    <w:p>
      <w:pPr>
        <w:pStyle w:val="Heading2"/>
        <w:spacing w:after="80" w:before="160"/>
      </w:pPr>
      <w:r>
        <w:t xml:space="preserve">3.1 Dados copiados do ERP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SNK_VENDA — vendas e devoluções por item (view VGF_VENDAS_SATIS), carregadas em janelas mensais.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SNK_META — meta 4 do ERP (TGFMET), por mês, vendedor, cliente e marca, com preço de referência por marca (AD_PRECOMARCA) já resolvido na carga.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SNK_PEDIDO_PEND — pedidos pendentes de faturamento.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SNK_CLIENTE, SNK_VENDEDOR, SNK_PRODUTO e SNK_ESTOQUE — cadastros e posição de estoque.</w:t>
      </w:r>
    </w:p>
    <w:p>
      <w:pPr>
        <w:pStyle w:val="Heading2"/>
        <w:spacing w:after="80" w:before="160"/>
      </w:pPr>
      <w:r>
        <w:t xml:space="preserve">3.2 Dados próprios do CRM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CRM_OPORTUNIDADE, CRM_OPORTUNIDADE_ITEM e CRM_OPORTUNIDADE_HIST — funil de vendas, itens e histórico de mudança de etapa.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CRM_ETAPA, CRM_ORIGEM e CRM_MOTIVO_PERDA — cadastros configuráveis do funil.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CRM_ATIVIDADE e CRM_NOTA — agenda de visitas, ligações e tarefas, e anotações por cliente.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CRM_ACESSO — papel de cada usuário (Diretor, Gerente, Vendedor) e vínculo com o código de vendedor do ERP.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CRM_PREFERENCIA — tema e paleta de cores escolhidos por usuário.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CRM_SYNC, CRM_SYNC_FILA e CRM_SYNC_LOG — controle, fila e histórico das sincronizações.</w:t>
      </w:r>
    </w:p>
    <w:p>
      <w:pPr>
        <w:pStyle w:val="Heading2"/>
        <w:spacing w:after="80" w:before="160"/>
      </w:pPr>
      <w:r>
        <w:t xml:space="preserve">3.3 Dados geográficos e de prospecção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GEO_MUNICIPIO, GEO_VIZINHO e GEO_CIDADE_CLIENTE — municípios do IBGE com coordenadas, pares de cidades a até 100 km e vínculo das cidades do ERP com o IBGE.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PROSPECT_CNPJ, PROSPECT_CNAE, PROSPECT_CARGA e PROSPECT_RESUMO — empresas ativas do agro da base aberta de CNPJ da Receita Federal, filtradas pelas atividades do agronegócio (sem comércio de máquinas agrícolas).</w:t>
      </w:r>
    </w:p>
    <w:p>
      <w:pPr>
        <w:pStyle w:val="Heading1"/>
        <w:spacing w:after="120" w:before="240"/>
      </w:pPr>
      <w:r>
        <w:rPr>
          <w:color w:val="4C1D95"/>
        </w:rPr>
        <w:t xml:space="preserve">4. Sincronização com o ERP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Sincronização rápida a cada 30 minutos, das 6h às 22h: vendas do mês atual e do anterior, e pedidos pendentes.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Sincronização diária às 5h20: vendedores, clientes, produtos, estoque e metas; atualiza também os acessos do assistente de IA.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Fila de sincronização processada a cada 5 minutos: diretores e gerentes podem pedir uma atualização pela tela sem esperar o próximo horário.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A carga de vendas e de metas apaga a janela de datas e regrava, porque a view de vendas do ERP não tem chave estável. A carga é idempotente: rodar duas vezes não duplica dados.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Cada execução fica registrada com início, fim, quantidade de linhas e erro, quando houver.</w:t>
      </w:r>
    </w:p>
    <w:p>
      <w:pPr>
        <w:pStyle w:val="Heading1"/>
        <w:spacing w:after="120" w:before="240"/>
      </w:pPr>
      <w:r>
        <w:rPr>
          <w:color w:val="4C1D95"/>
        </w:rPr>
        <w:t xml:space="preserve">5. Módulos e funcionalidades</w:t>
      </w:r>
    </w:p>
    <w:p>
      <w:pPr>
        <w:pStyle w:val="Heading2"/>
        <w:spacing w:after="80" w:before="160"/>
      </w:pPr>
      <w:r>
        <w:t xml:space="preserve">5.1 Dashboard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Visão comercial do período: faturamento líquido, volume, ticket médio, clientes, mix de produtos e devoluções.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Rankings por vendedor, marca, estado, grupo e cliente, com filtro cruzado entre os gráficos.</w:t>
      </w:r>
    </w:p>
    <w:p>
      <w:pPr>
        <w:pStyle w:val="Heading2"/>
        <w:spacing w:after="80" w:before="160"/>
      </w:pPr>
      <w:r>
        <w:t xml:space="preserve">5.2 Análises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Filtros por vendedor, marca, estado e grupo, e períodos Mês, Trimestre, Ano, 12 meses ou Livre, com comparação ao ano anterior ou ao período anterior.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Seis indicadores com variação e minigráfico: faturamento, pedidos, clientes ativos, ticket médio, volume e devoluções.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Indicador 3D de atingimento da meta e evolução mensal de faturamento contra a meta.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Painel "Análise e sugestões", calculado sobre os números do filtro, com atalho para a tela de ação.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Rankings de vendedores, marcas, estados, grupos, clientes e produtos, com filtro cruzado (clicar em um item filtra a página inteira) e detalhamento por qualquer dimensão.</w:t>
      </w:r>
    </w:p>
    <w:p>
      <w:pPr>
        <w:pStyle w:val="Heading2"/>
        <w:spacing w:after="80" w:before="160"/>
      </w:pPr>
      <w:r>
        <w:t xml:space="preserve">5.3 Metas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Meta 4 do ERP em valor e em quantidade, por vendedor, cliente e marca, com o realizado e o percentual de atingimento.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Comparativo de metas x realizado e destaque de quem está sem meta ou sem venda no período.</w:t>
      </w:r>
    </w:p>
    <w:p>
      <w:pPr>
        <w:pStyle w:val="Heading2"/>
        <w:spacing w:after="80" w:before="160"/>
      </w:pPr>
      <w:r>
        <w:t xml:space="preserve">5.4 Funil de vendas, oportunidades e agenda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Funil em kanban com arrastar e soltar entre etapas, valor ponderado pela probabilidade da etapa e alerta de oportunidade parada.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Cadastro de oportunidade com cliente, itens, valor, previsão de fechamento, origem e motivo de perda.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Histórico de cada mudança de etapa.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Agenda de atividades (visita, ligação, tarefa) por cliente e por oportunidade, com pendências e atrasadas em destaque.</w:t>
      </w:r>
    </w:p>
    <w:p>
      <w:pPr>
        <w:pStyle w:val="Heading2"/>
        <w:spacing w:after="80" w:before="160"/>
      </w:pPr>
      <w:r>
        <w:t xml:space="preserve">5.5 Oportunidades automáticas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Recompra: clientes que passaram do intervalo habitual de compra.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Venda cruzada: marcas que clientes parecidos compram e o cliente ainda não compra.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Queda de compra: clientes que compraram bem menos que no mesmo período anterior.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Distância da meta: clientes e marcas com maior volume a realizar.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Pedido parado: pedidos pendentes há muitos dias.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Cada sugestão vira oportunidade no funil com um clique.</w:t>
      </w:r>
    </w:p>
    <w:p>
      <w:pPr>
        <w:pStyle w:val="Heading2"/>
        <w:spacing w:after="80" w:before="160"/>
      </w:pPr>
      <w:r>
        <w:t xml:space="preserve">5.6 Clientes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Lista com busca, filtros e situação de compra (ativo, em risco, sem compra).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Ficha do cliente: compras por mês, marcas e produtos, meta, pedidos pendentes, oportunidades, atividades, notas e endereço.</w:t>
      </w:r>
    </w:p>
    <w:p>
      <w:pPr>
        <w:pStyle w:val="Heading2"/>
        <w:spacing w:after="80" w:before="160"/>
      </w:pPr>
      <w:r>
        <w:t xml:space="preserve">5.7 Estoque e pedidos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Estoque com cobertura em dias calculada sobre a saída do período escolhido (30 dias, 90 dias, 6 meses, 12 meses ou datas de início e fim).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Faixas de cobertura clicáveis: ruptura, abaixo de 15, 30 e 60 dias, excesso e sem saída.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Pedidos a faturar com indicadores sobre todo o filtro, estoque suficiente ou insuficiente e tempo parado.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Filtros de várias marcas, grupos e vendedores ao mesmo tempo, busca e ordenação.</w:t>
      </w:r>
    </w:p>
    <w:p>
      <w:pPr>
        <w:pStyle w:val="Heading2"/>
        <w:spacing w:after="80" w:before="160"/>
      </w:pPr>
      <w:r>
        <w:t xml:space="preserve">5.8 Mapa por região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Mapa do Brasil com os clientes posicionados pela cidade, coloridos pela situação de compra (sem compra há mais de 180 dias em destaque).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Oportunidades abertas por região.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Prospects do agro (CNPJ ativo da Receita Federal) que não são clientes e estão a até 100 km de clientes atuais, com contato e atividade econômica.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Prospect pode virar oportunidade no funil.</w:t>
      </w:r>
    </w:p>
    <w:p>
      <w:pPr>
        <w:pStyle w:val="Heading2"/>
        <w:spacing w:after="80" w:before="160"/>
      </w:pPr>
      <w:r>
        <w:t xml:space="preserve">5.9 Converse com os dados (assistente de IA)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Chat em linguagem natural sobre vendas, metas, clientes, estoque e funil, com histórico de conversas.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O assistente só consulta as tabelas e funções liberadas no perfil dele, e as regras de linha limitam as respostas à carteira de quem pergunta.</w:t>
      </w:r>
    </w:p>
    <w:p>
      <w:pPr>
        <w:pStyle w:val="Heading2"/>
        <w:spacing w:after="80" w:before="160"/>
      </w:pPr>
      <w:r>
        <w:t xml:space="preserve">5.10 Administração e aparência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Administração (Diretoria): papel de cada usuário, vínculo com o vendedor do ERP e situação das sincronizações.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Aparência: tema claro ou escuro e paleta de cores por usuário.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Escopo técnico: este documento, protegido por senha e com download em Word.</w:t>
      </w:r>
    </w:p>
    <w:p>
      <w:pPr>
        <w:pStyle w:val="Heading1"/>
        <w:spacing w:after="120" w:before="240"/>
      </w:pPr>
      <w:r>
        <w:rPr>
          <w:color w:val="4C1D95"/>
        </w:rPr>
        <w:t xml:space="preserve">6. Segurança e níveis de acesso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Login nativo da plataforma; o CRM não guarda senha de usuário.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Papéis: Diretor (empresa inteira), Gerente (vendedores ligados a ele no ERP) e Vendedor (a própria carteira). Usuário sem papel não acessa nenhuma tela.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Liberação automática no primeiro acesso: o e-mail que coincide com o cadastro de vendedor ativo no ERP recebe o papel correspondente; os demais aguardam liberação da Diretoria.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O alcance de cada usuário é calculado no servidor, a partir do usuário logado, em toda consulta e gravação; a tela nunca informa quem é o usuário.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Os valores digitados nas telas são enviados ao banco como parâmetros, sem montar comandos a partir do texto do usuário.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Credenciais do ERP ficam guardadas na integração, fora do código e das telas.</w:t>
      </w:r>
    </w:p>
    <w:p>
      <w:pPr>
        <w:pStyle w:val="Heading1"/>
        <w:spacing w:after="120" w:before="240"/>
      </w:pPr>
      <w:r>
        <w:rPr>
          <w:color w:val="4C1D95"/>
        </w:rPr>
        <w:t xml:space="preserve">7. Regras de negócio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Faturamento líquido = soma do valor das vendas sem bonificação. Já inclui as devoluções, que entram com valor negativo.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Bonificação é analisada separadamente.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Meta considerada: somente a meta 4 do ERP. Meta em valor = quantidade prevista × preço de referência da marca vigente no mês.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Margem e lucro não são calculados: o custo gravado ainda não teve a base de rateio homologada pelo cliente.</w:t>
      </w:r>
    </w:p>
    <w:p>
      <w:pPr>
        <w:pStyle w:val="Heading1"/>
        <w:spacing w:after="120" w:before="240"/>
      </w:pPr>
      <w:r>
        <w:rPr>
          <w:color w:val="4C1D95"/>
        </w:rPr>
        <w:t xml:space="preserve">8. Limites e requisitos não funcionais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O serviço de consultas do ERP devolve no máximo 5.000 linhas por chamada: vendas são carregadas por mês e metas por trimestre, e a carga recusa a janela se o limite for atingido.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Limite de 300 execuções de funções por minuto para o projeto inteiro: as telas agrupam consultas, a busca espera 300 ms após a digitação e não há atualização automática.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Listagens paginadas.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Interface em português, responsiva e com tema claro e escuro.</w:t>
      </w:r>
    </w:p>
    <w:p>
      <w:pPr>
        <w:pStyle w:val="Heading1"/>
        <w:spacing w:after="120" w:before="240"/>
      </w:pPr>
      <w:r>
        <w:rPr>
          <w:color w:val="4C1D95"/>
        </w:rPr>
        <w:t xml:space="preserve">9. Premissas e fora do escopo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Filtro por safra: o ERP não traz campo de safra; foi substituído por período com início e fim. Atalhos de safra dependem da definição dos meses pelo cliente.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Prospecção: a base da Receita só traz pessoa jurídica. Produtores rurais pessoa física não aparecem como prospects.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A base de prospects é atualizada sob demanda (a Receita publica mensalmente); não há atualização automática.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Localização dos clientes pela cidade (centro do município), pois o ERP não tem coordenadas nem CEP preenchidos.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Margem, lucro e comissão estão fora deste escopo.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Integrações com outros sistemas além do ERP Sankhya estão fora deste escopo.</w:t>
      </w:r>
    </w:p>
    <w:p>
      <w:pPr>
        <w:pStyle w:val="Heading1"/>
        <w:spacing w:after="120" w:before="240"/>
      </w:pPr>
      <w:r>
        <w:rPr>
          <w:color w:val="4C1D95"/>
        </w:rPr>
        <w:t xml:space="preserve">10. Estimativa de horas</w:t>
      </w:r>
    </w:p>
    <w:p>
      <w:pPr>
        <w:spacing w:after="120"/>
      </w:pPr>
      <w:r>
        <w:rPr>
          <w:sz w:val="22"/>
          <w:szCs w:val="22"/>
        </w:rPr>
        <w:t xml:space="preserve">Esforço total estimado: 38 horas, distribuídas em 3 fases.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71"/>
        <w:gridCol w:w="2506"/>
        <w:gridCol w:w="5205"/>
        <w:gridCol w:w="1157"/>
      </w:tblGrid>
      <w:tr>
        <w:trPr>
          <w:tblHeader/>
        </w:trPr>
        <w:tc>
          <w:tcPr>
            <w:tcW w:type="pct" w:w="400"/>
            <w:tcBorders>
              <w:top w:val="single" w:color="C4B5FD" w:sz="4"/>
              <w:left w:val="single" w:color="C4B5FD" w:sz="4"/>
              <w:bottom w:val="single" w:color="C4B5FD" w:sz="4"/>
              <w:right w:val="single" w:color="C4B5FD" w:sz="4"/>
            </w:tcBorders>
            <w:shd w:fill="EDE9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Item</w:t>
            </w:r>
          </w:p>
        </w:tc>
        <w:tc>
          <w:tcPr>
            <w:tcW w:type="pct" w:w="1300"/>
            <w:tcBorders>
              <w:top w:val="single" w:color="C4B5FD" w:sz="4"/>
              <w:left w:val="single" w:color="C4B5FD" w:sz="4"/>
              <w:bottom w:val="single" w:color="C4B5FD" w:sz="4"/>
              <w:right w:val="single" w:color="C4B5FD" w:sz="4"/>
            </w:tcBorders>
            <w:shd w:fill="EDE9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Atividade</w:t>
            </w:r>
          </w:p>
        </w:tc>
        <w:tc>
          <w:tcPr>
            <w:tcW w:type="pct" w:w="2700"/>
            <w:tcBorders>
              <w:top w:val="single" w:color="C4B5FD" w:sz="4"/>
              <w:left w:val="single" w:color="C4B5FD" w:sz="4"/>
              <w:bottom w:val="single" w:color="C4B5FD" w:sz="4"/>
              <w:right w:val="single" w:color="C4B5FD" w:sz="4"/>
            </w:tcBorders>
            <w:shd w:fill="EDE9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Descrição</w:t>
            </w:r>
          </w:p>
        </w:tc>
        <w:tc>
          <w:tcPr>
            <w:tcW w:type="pct" w:w="600"/>
            <w:tcBorders>
              <w:top w:val="single" w:color="C4B5FD" w:sz="4"/>
              <w:left w:val="single" w:color="C4B5FD" w:sz="4"/>
              <w:bottom w:val="single" w:color="C4B5FD" w:sz="4"/>
              <w:right w:val="single" w:color="C4B5FD" w:sz="4"/>
            </w:tcBorders>
            <w:shd w:fill="EDE9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Horas</w:t>
            </w:r>
          </w:p>
        </w:tc>
      </w:tr>
      <w:tr>
        <w:tc>
          <w:tcPr>
            <w:tcW w:type="pct" w:w="4400"/>
            <w:gridSpan w:val="3"/>
            <w:tcBorders>
              <w:top w:val="single" w:color="C4B5FD" w:sz="4"/>
              <w:left w:val="single" w:color="C4B5FD" w:sz="4"/>
              <w:bottom w:val="single" w:color="C4B5FD" w:sz="4"/>
              <w:right w:val="single" w:color="C4B5FD" w:sz="4"/>
            </w:tcBorders>
            <w:shd w:fill="F5F3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Fase 1 — Fundação de dados e segurança</w:t>
            </w:r>
          </w:p>
        </w:tc>
        <w:tc>
          <w:tcPr>
            <w:tcW w:type="pct" w:w="600"/>
            <w:tcBorders>
              <w:top w:val="single" w:color="C4B5FD" w:sz="4"/>
              <w:left w:val="single" w:color="C4B5FD" w:sz="4"/>
              <w:bottom w:val="single" w:color="C4B5FD" w:sz="4"/>
              <w:right w:val="single" w:color="C4B5FD" w:sz="4"/>
            </w:tcBorders>
            <w:shd w:fill="F5F3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15 h</w:t>
            </w:r>
          </w:p>
        </w:tc>
      </w:tr>
      <w:tr>
        <w:tc>
          <w:tcPr>
            <w:tcW w:type="pct" w:w="400"/>
            <w:tcBorders>
              <w:top w:val="single" w:color="C4B5FD" w:sz="4"/>
              <w:left w:val="single" w:color="C4B5FD" w:sz="4"/>
              <w:bottom w:val="single" w:color="C4B5FD" w:sz="4"/>
              <w:right w:val="single" w:color="C4B5F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1.1</w:t>
            </w:r>
          </w:p>
        </w:tc>
        <w:tc>
          <w:tcPr>
            <w:tcW w:type="pct" w:w="1300"/>
            <w:tcBorders>
              <w:top w:val="single" w:color="C4B5FD" w:sz="4"/>
              <w:left w:val="single" w:color="C4B5FD" w:sz="4"/>
              <w:bottom w:val="single" w:color="C4B5FD" w:sz="4"/>
              <w:right w:val="single" w:color="C4B5F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Levantamento e arquitetura</w:t>
            </w:r>
          </w:p>
        </w:tc>
        <w:tc>
          <w:tcPr>
            <w:tcW w:type="pct" w:w="2700"/>
            <w:tcBorders>
              <w:top w:val="single" w:color="C4B5FD" w:sz="4"/>
              <w:left w:val="single" w:color="C4B5FD" w:sz="4"/>
              <w:bottom w:val="single" w:color="C4B5FD" w:sz="4"/>
              <w:right w:val="single" w:color="C4B5F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Alinhamento das regras de negócio, modelo de dados misto e desenho da solução.</w:t>
            </w:r>
          </w:p>
        </w:tc>
        <w:tc>
          <w:tcPr>
            <w:tcW w:type="pct" w:w="600"/>
            <w:tcBorders>
              <w:top w:val="single" w:color="C4B5FD" w:sz="4"/>
              <w:left w:val="single" w:color="C4B5FD" w:sz="4"/>
              <w:bottom w:val="single" w:color="C4B5FD" w:sz="4"/>
              <w:right w:val="single" w:color="C4B5F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2 h</w:t>
            </w:r>
          </w:p>
        </w:tc>
      </w:tr>
      <w:tr>
        <w:tc>
          <w:tcPr>
            <w:tcW w:type="pct" w:w="400"/>
            <w:tcBorders>
              <w:top w:val="single" w:color="C4B5FD" w:sz="4"/>
              <w:left w:val="single" w:color="C4B5FD" w:sz="4"/>
              <w:bottom w:val="single" w:color="C4B5FD" w:sz="4"/>
              <w:right w:val="single" w:color="C4B5F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1.2</w:t>
            </w:r>
          </w:p>
        </w:tc>
        <w:tc>
          <w:tcPr>
            <w:tcW w:type="pct" w:w="1300"/>
            <w:tcBorders>
              <w:top w:val="single" w:color="C4B5FD" w:sz="4"/>
              <w:left w:val="single" w:color="C4B5FD" w:sz="4"/>
              <w:bottom w:val="single" w:color="C4B5FD" w:sz="4"/>
              <w:right w:val="single" w:color="C4B5F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Integração com o Sankhya</w:t>
            </w:r>
          </w:p>
        </w:tc>
        <w:tc>
          <w:tcPr>
            <w:tcW w:type="pct" w:w="2700"/>
            <w:tcBorders>
              <w:top w:val="single" w:color="C4B5FD" w:sz="4"/>
              <w:left w:val="single" w:color="C4B5FD" w:sz="4"/>
              <w:bottom w:val="single" w:color="C4B5FD" w:sz="4"/>
              <w:right w:val="single" w:color="C4B5F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Autenticação OAuth, consultas via DbExplorer e mapeamento das views de venda, meta e preço por marca.</w:t>
            </w:r>
          </w:p>
        </w:tc>
        <w:tc>
          <w:tcPr>
            <w:tcW w:type="pct" w:w="600"/>
            <w:tcBorders>
              <w:top w:val="single" w:color="C4B5FD" w:sz="4"/>
              <w:left w:val="single" w:color="C4B5FD" w:sz="4"/>
              <w:bottom w:val="single" w:color="C4B5FD" w:sz="4"/>
              <w:right w:val="single" w:color="C4B5F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3 h</w:t>
            </w:r>
          </w:p>
        </w:tc>
      </w:tr>
      <w:tr>
        <w:tc>
          <w:tcPr>
            <w:tcW w:type="pct" w:w="400"/>
            <w:tcBorders>
              <w:top w:val="single" w:color="C4B5FD" w:sz="4"/>
              <w:left w:val="single" w:color="C4B5FD" w:sz="4"/>
              <w:bottom w:val="single" w:color="C4B5FD" w:sz="4"/>
              <w:right w:val="single" w:color="C4B5F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1.3</w:t>
            </w:r>
          </w:p>
        </w:tc>
        <w:tc>
          <w:tcPr>
            <w:tcW w:type="pct" w:w="1300"/>
            <w:tcBorders>
              <w:top w:val="single" w:color="C4B5FD" w:sz="4"/>
              <w:left w:val="single" w:color="C4B5FD" w:sz="4"/>
              <w:bottom w:val="single" w:color="C4B5FD" w:sz="4"/>
              <w:right w:val="single" w:color="C4B5F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Modelo de dados e cargas</w:t>
            </w:r>
          </w:p>
        </w:tc>
        <w:tc>
          <w:tcPr>
            <w:tcW w:type="pct" w:w="2700"/>
            <w:tcBorders>
              <w:top w:val="single" w:color="C4B5FD" w:sz="4"/>
              <w:left w:val="single" w:color="C4B5FD" w:sz="4"/>
              <w:bottom w:val="single" w:color="C4B5FD" w:sz="4"/>
              <w:right w:val="single" w:color="C4B5F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Tabelas SNK_* e CRM_*, cargas em janelas mensais e trimestrais, regravação idempotente.</w:t>
            </w:r>
          </w:p>
        </w:tc>
        <w:tc>
          <w:tcPr>
            <w:tcW w:type="pct" w:w="600"/>
            <w:tcBorders>
              <w:top w:val="single" w:color="C4B5FD" w:sz="4"/>
              <w:left w:val="single" w:color="C4B5FD" w:sz="4"/>
              <w:bottom w:val="single" w:color="C4B5FD" w:sz="4"/>
              <w:right w:val="single" w:color="C4B5F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4 h</w:t>
            </w:r>
          </w:p>
        </w:tc>
      </w:tr>
      <w:tr>
        <w:tc>
          <w:tcPr>
            <w:tcW w:type="pct" w:w="400"/>
            <w:tcBorders>
              <w:top w:val="single" w:color="C4B5FD" w:sz="4"/>
              <w:left w:val="single" w:color="C4B5FD" w:sz="4"/>
              <w:bottom w:val="single" w:color="C4B5FD" w:sz="4"/>
              <w:right w:val="single" w:color="C4B5F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1.4</w:t>
            </w:r>
          </w:p>
        </w:tc>
        <w:tc>
          <w:tcPr>
            <w:tcW w:type="pct" w:w="1300"/>
            <w:tcBorders>
              <w:top w:val="single" w:color="C4B5FD" w:sz="4"/>
              <w:left w:val="single" w:color="C4B5FD" w:sz="4"/>
              <w:bottom w:val="single" w:color="C4B5FD" w:sz="4"/>
              <w:right w:val="single" w:color="C4B5F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Sincronização automática</w:t>
            </w:r>
          </w:p>
        </w:tc>
        <w:tc>
          <w:tcPr>
            <w:tcW w:type="pct" w:w="2700"/>
            <w:tcBorders>
              <w:top w:val="single" w:color="C4B5FD" w:sz="4"/>
              <w:left w:val="single" w:color="C4B5FD" w:sz="4"/>
              <w:bottom w:val="single" w:color="C4B5FD" w:sz="4"/>
              <w:right w:val="single" w:color="C4B5F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Motor de sincronização, agendas rápida e diária, fila acionada pela tela e registro das execuções.</w:t>
            </w:r>
          </w:p>
        </w:tc>
        <w:tc>
          <w:tcPr>
            <w:tcW w:type="pct" w:w="600"/>
            <w:tcBorders>
              <w:top w:val="single" w:color="C4B5FD" w:sz="4"/>
              <w:left w:val="single" w:color="C4B5FD" w:sz="4"/>
              <w:bottom w:val="single" w:color="C4B5FD" w:sz="4"/>
              <w:right w:val="single" w:color="C4B5F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3 h</w:t>
            </w:r>
          </w:p>
        </w:tc>
      </w:tr>
      <w:tr>
        <w:tc>
          <w:tcPr>
            <w:tcW w:type="pct" w:w="400"/>
            <w:tcBorders>
              <w:top w:val="single" w:color="C4B5FD" w:sz="4"/>
              <w:left w:val="single" w:color="C4B5FD" w:sz="4"/>
              <w:bottom w:val="single" w:color="C4B5FD" w:sz="4"/>
              <w:right w:val="single" w:color="C4B5F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1.5</w:t>
            </w:r>
          </w:p>
        </w:tc>
        <w:tc>
          <w:tcPr>
            <w:tcW w:type="pct" w:w="1300"/>
            <w:tcBorders>
              <w:top w:val="single" w:color="C4B5FD" w:sz="4"/>
              <w:left w:val="single" w:color="C4B5FD" w:sz="4"/>
              <w:bottom w:val="single" w:color="C4B5FD" w:sz="4"/>
              <w:right w:val="single" w:color="C4B5F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Níveis de acesso e segurança</w:t>
            </w:r>
          </w:p>
        </w:tc>
        <w:tc>
          <w:tcPr>
            <w:tcW w:type="pct" w:w="2700"/>
            <w:tcBorders>
              <w:top w:val="single" w:color="C4B5FD" w:sz="4"/>
              <w:left w:val="single" w:color="C4B5FD" w:sz="4"/>
              <w:bottom w:val="single" w:color="C4B5FD" w:sz="4"/>
              <w:right w:val="single" w:color="C4B5F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Papéis, alcance por carteira, liberação no primeiro acesso, regras de linha e proteção de parâmetros.</w:t>
            </w:r>
          </w:p>
        </w:tc>
        <w:tc>
          <w:tcPr>
            <w:tcW w:type="pct" w:w="600"/>
            <w:tcBorders>
              <w:top w:val="single" w:color="C4B5FD" w:sz="4"/>
              <w:left w:val="single" w:color="C4B5FD" w:sz="4"/>
              <w:bottom w:val="single" w:color="C4B5FD" w:sz="4"/>
              <w:right w:val="single" w:color="C4B5F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3 h</w:t>
            </w:r>
          </w:p>
        </w:tc>
      </w:tr>
      <w:tr>
        <w:tc>
          <w:tcPr>
            <w:tcW w:type="pct" w:w="4400"/>
            <w:gridSpan w:val="3"/>
            <w:tcBorders>
              <w:top w:val="single" w:color="C4B5FD" w:sz="4"/>
              <w:left w:val="single" w:color="C4B5FD" w:sz="4"/>
              <w:bottom w:val="single" w:color="C4B5FD" w:sz="4"/>
              <w:right w:val="single" w:color="C4B5FD" w:sz="4"/>
            </w:tcBorders>
            <w:shd w:fill="F5F3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Fase 2 — Telas e funcionalidades</w:t>
            </w:r>
          </w:p>
        </w:tc>
        <w:tc>
          <w:tcPr>
            <w:tcW w:type="pct" w:w="600"/>
            <w:tcBorders>
              <w:top w:val="single" w:color="C4B5FD" w:sz="4"/>
              <w:left w:val="single" w:color="C4B5FD" w:sz="4"/>
              <w:bottom w:val="single" w:color="C4B5FD" w:sz="4"/>
              <w:right w:val="single" w:color="C4B5FD" w:sz="4"/>
            </w:tcBorders>
            <w:shd w:fill="F5F3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18 h</w:t>
            </w:r>
          </w:p>
        </w:tc>
      </w:tr>
      <w:tr>
        <w:tc>
          <w:tcPr>
            <w:tcW w:type="pct" w:w="400"/>
            <w:tcBorders>
              <w:top w:val="single" w:color="C4B5FD" w:sz="4"/>
              <w:left w:val="single" w:color="C4B5FD" w:sz="4"/>
              <w:bottom w:val="single" w:color="C4B5FD" w:sz="4"/>
              <w:right w:val="single" w:color="C4B5F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2.1</w:t>
            </w:r>
          </w:p>
        </w:tc>
        <w:tc>
          <w:tcPr>
            <w:tcW w:type="pct" w:w="1300"/>
            <w:tcBorders>
              <w:top w:val="single" w:color="C4B5FD" w:sz="4"/>
              <w:left w:val="single" w:color="C4B5FD" w:sz="4"/>
              <w:bottom w:val="single" w:color="C4B5FD" w:sz="4"/>
              <w:right w:val="single" w:color="C4B5F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Dashboard e Análises</w:t>
            </w:r>
          </w:p>
        </w:tc>
        <w:tc>
          <w:tcPr>
            <w:tcW w:type="pct" w:w="2700"/>
            <w:tcBorders>
              <w:top w:val="single" w:color="C4B5FD" w:sz="4"/>
              <w:left w:val="single" w:color="C4B5FD" w:sz="4"/>
              <w:bottom w:val="single" w:color="C4B5FD" w:sz="4"/>
              <w:right w:val="single" w:color="C4B5F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Indicadores 3D, filtros cruzados, detalhamento, evolução mensal, rankings e análise com sugestões.</w:t>
            </w:r>
          </w:p>
        </w:tc>
        <w:tc>
          <w:tcPr>
            <w:tcW w:type="pct" w:w="600"/>
            <w:tcBorders>
              <w:top w:val="single" w:color="C4B5FD" w:sz="4"/>
              <w:left w:val="single" w:color="C4B5FD" w:sz="4"/>
              <w:bottom w:val="single" w:color="C4B5FD" w:sz="4"/>
              <w:right w:val="single" w:color="C4B5F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4 h</w:t>
            </w:r>
          </w:p>
        </w:tc>
      </w:tr>
      <w:tr>
        <w:tc>
          <w:tcPr>
            <w:tcW w:type="pct" w:w="400"/>
            <w:tcBorders>
              <w:top w:val="single" w:color="C4B5FD" w:sz="4"/>
              <w:left w:val="single" w:color="C4B5FD" w:sz="4"/>
              <w:bottom w:val="single" w:color="C4B5FD" w:sz="4"/>
              <w:right w:val="single" w:color="C4B5F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2.2</w:t>
            </w:r>
          </w:p>
        </w:tc>
        <w:tc>
          <w:tcPr>
            <w:tcW w:type="pct" w:w="1300"/>
            <w:tcBorders>
              <w:top w:val="single" w:color="C4B5FD" w:sz="4"/>
              <w:left w:val="single" w:color="C4B5FD" w:sz="4"/>
              <w:bottom w:val="single" w:color="C4B5FD" w:sz="4"/>
              <w:right w:val="single" w:color="C4B5F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Metas</w:t>
            </w:r>
          </w:p>
        </w:tc>
        <w:tc>
          <w:tcPr>
            <w:tcW w:type="pct" w:w="2700"/>
            <w:tcBorders>
              <w:top w:val="single" w:color="C4B5FD" w:sz="4"/>
              <w:left w:val="single" w:color="C4B5FD" w:sz="4"/>
              <w:bottom w:val="single" w:color="C4B5FD" w:sz="4"/>
              <w:right w:val="single" w:color="C4B5F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Meta 4 em valor e quantidade, metas x realizado e atingimento.</w:t>
            </w:r>
          </w:p>
        </w:tc>
        <w:tc>
          <w:tcPr>
            <w:tcW w:type="pct" w:w="600"/>
            <w:tcBorders>
              <w:top w:val="single" w:color="C4B5FD" w:sz="4"/>
              <w:left w:val="single" w:color="C4B5FD" w:sz="4"/>
              <w:bottom w:val="single" w:color="C4B5FD" w:sz="4"/>
              <w:right w:val="single" w:color="C4B5F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2 h</w:t>
            </w:r>
          </w:p>
        </w:tc>
      </w:tr>
      <w:tr>
        <w:tc>
          <w:tcPr>
            <w:tcW w:type="pct" w:w="400"/>
            <w:tcBorders>
              <w:top w:val="single" w:color="C4B5FD" w:sz="4"/>
              <w:left w:val="single" w:color="C4B5FD" w:sz="4"/>
              <w:bottom w:val="single" w:color="C4B5FD" w:sz="4"/>
              <w:right w:val="single" w:color="C4B5F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2.3</w:t>
            </w:r>
          </w:p>
        </w:tc>
        <w:tc>
          <w:tcPr>
            <w:tcW w:type="pct" w:w="1300"/>
            <w:tcBorders>
              <w:top w:val="single" w:color="C4B5FD" w:sz="4"/>
              <w:left w:val="single" w:color="C4B5FD" w:sz="4"/>
              <w:bottom w:val="single" w:color="C4B5FD" w:sz="4"/>
              <w:right w:val="single" w:color="C4B5F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Funil, oportunidades e agenda</w:t>
            </w:r>
          </w:p>
        </w:tc>
        <w:tc>
          <w:tcPr>
            <w:tcW w:type="pct" w:w="2700"/>
            <w:tcBorders>
              <w:top w:val="single" w:color="C4B5FD" w:sz="4"/>
              <w:left w:val="single" w:color="C4B5FD" w:sz="4"/>
              <w:bottom w:val="single" w:color="C4B5FD" w:sz="4"/>
              <w:right w:val="single" w:color="C4B5F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Kanban, cadastro de oportunidade, histórico de etapas e agenda de atividades.</w:t>
            </w:r>
          </w:p>
        </w:tc>
        <w:tc>
          <w:tcPr>
            <w:tcW w:type="pct" w:w="600"/>
            <w:tcBorders>
              <w:top w:val="single" w:color="C4B5FD" w:sz="4"/>
              <w:left w:val="single" w:color="C4B5FD" w:sz="4"/>
              <w:bottom w:val="single" w:color="C4B5FD" w:sz="4"/>
              <w:right w:val="single" w:color="C4B5F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3 h</w:t>
            </w:r>
          </w:p>
        </w:tc>
      </w:tr>
      <w:tr>
        <w:tc>
          <w:tcPr>
            <w:tcW w:type="pct" w:w="400"/>
            <w:tcBorders>
              <w:top w:val="single" w:color="C4B5FD" w:sz="4"/>
              <w:left w:val="single" w:color="C4B5FD" w:sz="4"/>
              <w:bottom w:val="single" w:color="C4B5FD" w:sz="4"/>
              <w:right w:val="single" w:color="C4B5F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2.4</w:t>
            </w:r>
          </w:p>
        </w:tc>
        <w:tc>
          <w:tcPr>
            <w:tcW w:type="pct" w:w="1300"/>
            <w:tcBorders>
              <w:top w:val="single" w:color="C4B5FD" w:sz="4"/>
              <w:left w:val="single" w:color="C4B5FD" w:sz="4"/>
              <w:bottom w:val="single" w:color="C4B5FD" w:sz="4"/>
              <w:right w:val="single" w:color="C4B5F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Oportunidades automáticas</w:t>
            </w:r>
          </w:p>
        </w:tc>
        <w:tc>
          <w:tcPr>
            <w:tcW w:type="pct" w:w="2700"/>
            <w:tcBorders>
              <w:top w:val="single" w:color="C4B5FD" w:sz="4"/>
              <w:left w:val="single" w:color="C4B5FD" w:sz="4"/>
              <w:bottom w:val="single" w:color="C4B5FD" w:sz="4"/>
              <w:right w:val="single" w:color="C4B5F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Recompra, venda cruzada, queda de compra, distância da meta e pedido parado.</w:t>
            </w:r>
          </w:p>
        </w:tc>
        <w:tc>
          <w:tcPr>
            <w:tcW w:type="pct" w:w="600"/>
            <w:tcBorders>
              <w:top w:val="single" w:color="C4B5FD" w:sz="4"/>
              <w:left w:val="single" w:color="C4B5FD" w:sz="4"/>
              <w:bottom w:val="single" w:color="C4B5FD" w:sz="4"/>
              <w:right w:val="single" w:color="C4B5F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2 h</w:t>
            </w:r>
          </w:p>
        </w:tc>
      </w:tr>
      <w:tr>
        <w:tc>
          <w:tcPr>
            <w:tcW w:type="pct" w:w="400"/>
            <w:tcBorders>
              <w:top w:val="single" w:color="C4B5FD" w:sz="4"/>
              <w:left w:val="single" w:color="C4B5FD" w:sz="4"/>
              <w:bottom w:val="single" w:color="C4B5FD" w:sz="4"/>
              <w:right w:val="single" w:color="C4B5F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2.5</w:t>
            </w:r>
          </w:p>
        </w:tc>
        <w:tc>
          <w:tcPr>
            <w:tcW w:type="pct" w:w="1300"/>
            <w:tcBorders>
              <w:top w:val="single" w:color="C4B5FD" w:sz="4"/>
              <w:left w:val="single" w:color="C4B5FD" w:sz="4"/>
              <w:bottom w:val="single" w:color="C4B5FD" w:sz="4"/>
              <w:right w:val="single" w:color="C4B5F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Clientes e ficha do cliente</w:t>
            </w:r>
          </w:p>
        </w:tc>
        <w:tc>
          <w:tcPr>
            <w:tcW w:type="pct" w:w="2700"/>
            <w:tcBorders>
              <w:top w:val="single" w:color="C4B5FD" w:sz="4"/>
              <w:left w:val="single" w:color="C4B5FD" w:sz="4"/>
              <w:bottom w:val="single" w:color="C4B5FD" w:sz="4"/>
              <w:right w:val="single" w:color="C4B5F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Lista com situação de compra e ficha completa do cliente.</w:t>
            </w:r>
          </w:p>
        </w:tc>
        <w:tc>
          <w:tcPr>
            <w:tcW w:type="pct" w:w="600"/>
            <w:tcBorders>
              <w:top w:val="single" w:color="C4B5FD" w:sz="4"/>
              <w:left w:val="single" w:color="C4B5FD" w:sz="4"/>
              <w:bottom w:val="single" w:color="C4B5FD" w:sz="4"/>
              <w:right w:val="single" w:color="C4B5F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2 h</w:t>
            </w:r>
          </w:p>
        </w:tc>
      </w:tr>
      <w:tr>
        <w:tc>
          <w:tcPr>
            <w:tcW w:type="pct" w:w="400"/>
            <w:tcBorders>
              <w:top w:val="single" w:color="C4B5FD" w:sz="4"/>
              <w:left w:val="single" w:color="C4B5FD" w:sz="4"/>
              <w:bottom w:val="single" w:color="C4B5FD" w:sz="4"/>
              <w:right w:val="single" w:color="C4B5F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2.6</w:t>
            </w:r>
          </w:p>
        </w:tc>
        <w:tc>
          <w:tcPr>
            <w:tcW w:type="pct" w:w="1300"/>
            <w:tcBorders>
              <w:top w:val="single" w:color="C4B5FD" w:sz="4"/>
              <w:left w:val="single" w:color="C4B5FD" w:sz="4"/>
              <w:bottom w:val="single" w:color="C4B5FD" w:sz="4"/>
              <w:right w:val="single" w:color="C4B5F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Estoque e pedidos</w:t>
            </w:r>
          </w:p>
        </w:tc>
        <w:tc>
          <w:tcPr>
            <w:tcW w:type="pct" w:w="2700"/>
            <w:tcBorders>
              <w:top w:val="single" w:color="C4B5FD" w:sz="4"/>
              <w:left w:val="single" w:color="C4B5FD" w:sz="4"/>
              <w:bottom w:val="single" w:color="C4B5FD" w:sz="4"/>
              <w:right w:val="single" w:color="C4B5F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Cobertura por período, faixas de cobertura, pedidos a faturar e filtros múltiplos.</w:t>
            </w:r>
          </w:p>
        </w:tc>
        <w:tc>
          <w:tcPr>
            <w:tcW w:type="pct" w:w="600"/>
            <w:tcBorders>
              <w:top w:val="single" w:color="C4B5FD" w:sz="4"/>
              <w:left w:val="single" w:color="C4B5FD" w:sz="4"/>
              <w:bottom w:val="single" w:color="C4B5FD" w:sz="4"/>
              <w:right w:val="single" w:color="C4B5F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2 h</w:t>
            </w:r>
          </w:p>
        </w:tc>
      </w:tr>
      <w:tr>
        <w:tc>
          <w:tcPr>
            <w:tcW w:type="pct" w:w="400"/>
            <w:tcBorders>
              <w:top w:val="single" w:color="C4B5FD" w:sz="4"/>
              <w:left w:val="single" w:color="C4B5FD" w:sz="4"/>
              <w:bottom w:val="single" w:color="C4B5FD" w:sz="4"/>
              <w:right w:val="single" w:color="C4B5F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2.7</w:t>
            </w:r>
          </w:p>
        </w:tc>
        <w:tc>
          <w:tcPr>
            <w:tcW w:type="pct" w:w="1300"/>
            <w:tcBorders>
              <w:top w:val="single" w:color="C4B5FD" w:sz="4"/>
              <w:left w:val="single" w:color="C4B5FD" w:sz="4"/>
              <w:bottom w:val="single" w:color="C4B5FD" w:sz="4"/>
              <w:right w:val="single" w:color="C4B5F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Mapa por região e prospects</w:t>
            </w:r>
          </w:p>
        </w:tc>
        <w:tc>
          <w:tcPr>
            <w:tcW w:type="pct" w:w="2700"/>
            <w:tcBorders>
              <w:top w:val="single" w:color="C4B5FD" w:sz="4"/>
              <w:left w:val="single" w:color="C4B5FD" w:sz="4"/>
              <w:bottom w:val="single" w:color="C4B5FD" w:sz="4"/>
              <w:right w:val="single" w:color="C4B5F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Mapa do Brasil, clientes sem compra, oportunidades e carga dos CNPJs do agro da Receita a até 100 km.</w:t>
            </w:r>
          </w:p>
        </w:tc>
        <w:tc>
          <w:tcPr>
            <w:tcW w:type="pct" w:w="600"/>
            <w:tcBorders>
              <w:top w:val="single" w:color="C4B5FD" w:sz="4"/>
              <w:left w:val="single" w:color="C4B5FD" w:sz="4"/>
              <w:bottom w:val="single" w:color="C4B5FD" w:sz="4"/>
              <w:right w:val="single" w:color="C4B5F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3 h</w:t>
            </w:r>
          </w:p>
        </w:tc>
      </w:tr>
      <w:tr>
        <w:tc>
          <w:tcPr>
            <w:tcW w:type="pct" w:w="4400"/>
            <w:gridSpan w:val="3"/>
            <w:tcBorders>
              <w:top w:val="single" w:color="C4B5FD" w:sz="4"/>
              <w:left w:val="single" w:color="C4B5FD" w:sz="4"/>
              <w:bottom w:val="single" w:color="C4B5FD" w:sz="4"/>
              <w:right w:val="single" w:color="C4B5FD" w:sz="4"/>
            </w:tcBorders>
            <w:shd w:fill="F5F3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Fase 3 — Assistente de IA, identidade visual e entrega</w:t>
            </w:r>
          </w:p>
        </w:tc>
        <w:tc>
          <w:tcPr>
            <w:tcW w:type="pct" w:w="600"/>
            <w:tcBorders>
              <w:top w:val="single" w:color="C4B5FD" w:sz="4"/>
              <w:left w:val="single" w:color="C4B5FD" w:sz="4"/>
              <w:bottom w:val="single" w:color="C4B5FD" w:sz="4"/>
              <w:right w:val="single" w:color="C4B5FD" w:sz="4"/>
            </w:tcBorders>
            <w:shd w:fill="F5F3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5 h</w:t>
            </w:r>
          </w:p>
        </w:tc>
      </w:tr>
      <w:tr>
        <w:tc>
          <w:tcPr>
            <w:tcW w:type="pct" w:w="400"/>
            <w:tcBorders>
              <w:top w:val="single" w:color="C4B5FD" w:sz="4"/>
              <w:left w:val="single" w:color="C4B5FD" w:sz="4"/>
              <w:bottom w:val="single" w:color="C4B5FD" w:sz="4"/>
              <w:right w:val="single" w:color="C4B5F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3.1</w:t>
            </w:r>
          </w:p>
        </w:tc>
        <w:tc>
          <w:tcPr>
            <w:tcW w:type="pct" w:w="1300"/>
            <w:tcBorders>
              <w:top w:val="single" w:color="C4B5FD" w:sz="4"/>
              <w:left w:val="single" w:color="C4B5FD" w:sz="4"/>
              <w:bottom w:val="single" w:color="C4B5FD" w:sz="4"/>
              <w:right w:val="single" w:color="C4B5F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Assistente de IA</w:t>
            </w:r>
          </w:p>
        </w:tc>
        <w:tc>
          <w:tcPr>
            <w:tcW w:type="pct" w:w="2700"/>
            <w:tcBorders>
              <w:top w:val="single" w:color="C4B5FD" w:sz="4"/>
              <w:left w:val="single" w:color="C4B5FD" w:sz="4"/>
              <w:bottom w:val="single" w:color="C4B5FD" w:sz="4"/>
              <w:right w:val="single" w:color="C4B5F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Chat "Converse com os dados", perfil de acesso do assistente e instruções de negócio.</w:t>
            </w:r>
          </w:p>
        </w:tc>
        <w:tc>
          <w:tcPr>
            <w:tcW w:type="pct" w:w="600"/>
            <w:tcBorders>
              <w:top w:val="single" w:color="C4B5FD" w:sz="4"/>
              <w:left w:val="single" w:color="C4B5FD" w:sz="4"/>
              <w:bottom w:val="single" w:color="C4B5FD" w:sz="4"/>
              <w:right w:val="single" w:color="C4B5F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2 h</w:t>
            </w:r>
          </w:p>
        </w:tc>
      </w:tr>
      <w:tr>
        <w:tc>
          <w:tcPr>
            <w:tcW w:type="pct" w:w="400"/>
            <w:tcBorders>
              <w:top w:val="single" w:color="C4B5FD" w:sz="4"/>
              <w:left w:val="single" w:color="C4B5FD" w:sz="4"/>
              <w:bottom w:val="single" w:color="C4B5FD" w:sz="4"/>
              <w:right w:val="single" w:color="C4B5F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3.2</w:t>
            </w:r>
          </w:p>
        </w:tc>
        <w:tc>
          <w:tcPr>
            <w:tcW w:type="pct" w:w="1300"/>
            <w:tcBorders>
              <w:top w:val="single" w:color="C4B5FD" w:sz="4"/>
              <w:left w:val="single" w:color="C4B5FD" w:sz="4"/>
              <w:bottom w:val="single" w:color="C4B5FD" w:sz="4"/>
              <w:right w:val="single" w:color="C4B5F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Identidade visual e navegação</w:t>
            </w:r>
          </w:p>
        </w:tc>
        <w:tc>
          <w:tcPr>
            <w:tcW w:type="pct" w:w="2700"/>
            <w:tcBorders>
              <w:top w:val="single" w:color="C4B5FD" w:sz="4"/>
              <w:left w:val="single" w:color="C4B5FD" w:sz="4"/>
              <w:bottom w:val="single" w:color="C4B5FD" w:sz="4"/>
              <w:right w:val="single" w:color="C4B5F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Temas claro e escuro, paletas, menu lateral e layout responsivo.</w:t>
            </w:r>
          </w:p>
        </w:tc>
        <w:tc>
          <w:tcPr>
            <w:tcW w:type="pct" w:w="600"/>
            <w:tcBorders>
              <w:top w:val="single" w:color="C4B5FD" w:sz="4"/>
              <w:left w:val="single" w:color="C4B5FD" w:sz="4"/>
              <w:bottom w:val="single" w:color="C4B5FD" w:sz="4"/>
              <w:right w:val="single" w:color="C4B5F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1 h</w:t>
            </w:r>
          </w:p>
        </w:tc>
      </w:tr>
      <w:tr>
        <w:tc>
          <w:tcPr>
            <w:tcW w:type="pct" w:w="400"/>
            <w:tcBorders>
              <w:top w:val="single" w:color="C4B5FD" w:sz="4"/>
              <w:left w:val="single" w:color="C4B5FD" w:sz="4"/>
              <w:bottom w:val="single" w:color="C4B5FD" w:sz="4"/>
              <w:right w:val="single" w:color="C4B5F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3.3</w:t>
            </w:r>
          </w:p>
        </w:tc>
        <w:tc>
          <w:tcPr>
            <w:tcW w:type="pct" w:w="1300"/>
            <w:tcBorders>
              <w:top w:val="single" w:color="C4B5FD" w:sz="4"/>
              <w:left w:val="single" w:color="C4B5FD" w:sz="4"/>
              <w:bottom w:val="single" w:color="C4B5FD" w:sz="4"/>
              <w:right w:val="single" w:color="C4B5F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Testes, homologação e documentação</w:t>
            </w:r>
          </w:p>
        </w:tc>
        <w:tc>
          <w:tcPr>
            <w:tcW w:type="pct" w:w="2700"/>
            <w:tcBorders>
              <w:top w:val="single" w:color="C4B5FD" w:sz="4"/>
              <w:left w:val="single" w:color="C4B5FD" w:sz="4"/>
              <w:bottom w:val="single" w:color="C4B5FD" w:sz="4"/>
              <w:right w:val="single" w:color="C4B5F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Conferência dos números com o ERP, testes por papel de usuário e este escopo técnico.</w:t>
            </w:r>
          </w:p>
        </w:tc>
        <w:tc>
          <w:tcPr>
            <w:tcW w:type="pct" w:w="600"/>
            <w:tcBorders>
              <w:top w:val="single" w:color="C4B5FD" w:sz="4"/>
              <w:left w:val="single" w:color="C4B5FD" w:sz="4"/>
              <w:bottom w:val="single" w:color="C4B5FD" w:sz="4"/>
              <w:right w:val="single" w:color="C4B5F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2 h</w:t>
            </w:r>
          </w:p>
        </w:tc>
      </w:tr>
      <w:tr>
        <w:tc>
          <w:tcPr>
            <w:tcW w:type="pct" w:w="4400"/>
            <w:gridSpan w:val="3"/>
            <w:tcBorders>
              <w:top w:val="single" w:color="C4B5FD" w:sz="4"/>
              <w:left w:val="single" w:color="C4B5FD" w:sz="4"/>
              <w:bottom w:val="single" w:color="C4B5FD" w:sz="4"/>
              <w:right w:val="single" w:color="C4B5FD" w:sz="4"/>
            </w:tcBorders>
            <w:shd w:fill="EDE9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Total</w:t>
            </w:r>
          </w:p>
        </w:tc>
        <w:tc>
          <w:tcPr>
            <w:tcW w:type="pct" w:w="600"/>
            <w:tcBorders>
              <w:top w:val="single" w:color="C4B5FD" w:sz="4"/>
              <w:left w:val="single" w:color="C4B5FD" w:sz="4"/>
              <w:bottom w:val="single" w:color="C4B5FD" w:sz="4"/>
              <w:right w:val="single" w:color="C4B5FD" w:sz="4"/>
            </w:tcBorders>
            <w:shd w:fill="EDE9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38 h</w:t>
            </w:r>
          </w:p>
        </w:tc>
      </w:tr>
    </w:tbl>
    <w:p>
      <w:pPr>
        <w:pStyle w:val="Heading2"/>
        <w:spacing w:after="80" w:before="240"/>
      </w:pPr>
      <w:r>
        <w:t xml:space="preserve">Distribuição por fase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Fase 1 — Fundação de dados e segurança: 15 horas (39%)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Fase 2 — Telas e funcionalidades: 18 horas (47%)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Fase 3 — Assistente de IA, identidade visual e entrega: 5 horas (13%)</w:t>
      </w:r>
    </w:p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777777"/>
        <w:sz w:val="16"/>
        <w:szCs w:val="16"/>
      </w:rPr>
      <w:t xml:space="preserve">Escopo Técnico — CRM Satis · página </w:t>
    </w:r>
    <w:r>
      <w:rPr>
        <w:color w:val="777777"/>
        <w:sz w:val="16"/>
        <w:szCs w:val="16"/>
      </w:rPr>
      <w:fldChar w:fldCharType="begin"/>
    </w:r>
    <w:r>
      <w:rPr>
        <w:color w:val="777777"/>
        <w:sz w:val="16"/>
        <w:szCs w:val="16"/>
      </w:rPr>
      <w:instrText xml:space="preserve">PAGE</w:instrText>
    </w:r>
    <w:r>
      <w:rPr>
        <w:color w:val="777777"/>
        <w:sz w:val="16"/>
        <w:szCs w:val="16"/>
      </w:rPr>
      <w:fldChar w:fldCharType="separate"/>
    </w:r>
    <w:r>
      <w:rPr>
        <w:color w:val="777777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Escopo Técnico — CRM Satis</dc:title>
  <dc:creator>CRM Satis</dc:creator>
  <cp:lastModifiedBy>Un-named</cp:lastModifiedBy>
  <cp:revision>1</cp:revision>
  <dcterms:created xsi:type="dcterms:W3CDTF">2026-10-16T21:18:57.793Z</dcterms:created>
  <dcterms:modified xsi:type="dcterms:W3CDTF">2026-10-16T21:18:57.793Z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