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color w:val="1565C0"/>
          <w:sz w:val="48"/>
          <w:szCs w:val="48"/>
        </w:rPr>
        <w:t xml:space="preserve">CYCLISTIC BIKE-SHARE</w:t>
      </w:r>
    </w:p>
    <w:p>
      <w:pPr>
        <w:spacing w:before="0" w:after="160"/>
        <w:jc w:val="center"/>
      </w:pPr>
      <w:r>
        <w:rPr>
          <w:rFonts w:ascii="Arial" w:cs="Arial" w:eastAsia="Arial" w:hAnsi="Arial"/>
          <w:color w:val="424242"/>
          <w:sz w:val="32"/>
          <w:szCs w:val="32"/>
        </w:rPr>
        <w:t xml:space="preserve">Member vs. Casual Rider Analysis</w:t>
      </w:r>
    </w:p>
    <w:p>
      <w:pPr>
        <w:pBdr>
          <w:bottom w:val="single" w:color="E65100" w:sz="6" w:space="4"/>
        </w:pBdr>
        <w:spacing w:before="0" w:after="320"/>
        <w:jc w:val="center"/>
      </w:pPr>
    </w:p>
    <w:p>
      <w:pPr>
        <w:spacing w:before="0" w:after="80"/>
        <w:jc w:val="center"/>
      </w:pPr>
      <w:r>
        <w:rPr>
          <w:rFonts w:ascii="Arial" w:cs="Arial" w:eastAsia="Arial" w:hAnsi="Arial"/>
          <w:color w:val="757575"/>
          <w:sz w:val="24"/>
          <w:szCs w:val="24"/>
        </w:rPr>
        <w:t xml:space="preserve">Q1 2019 &amp; Q1 2020 Trip Data</w:t>
      </w:r>
    </w:p>
    <w:p>
      <w:pPr>
        <w:spacing w:before="0" w:after="80"/>
        <w:jc w:val="center"/>
      </w:pPr>
      <w:r>
        <w:rPr>
          <w:rFonts w:ascii="Arial" w:cs="Arial" w:eastAsia="Arial" w:hAnsi="Arial"/>
          <w:color w:val="757575"/>
          <w:sz w:val="22"/>
          <w:szCs w:val="22"/>
        </w:rPr>
        <w:t xml:space="preserve">Prepared for: Lily Moreno, Director of Marketing</w:t>
      </w:r>
    </w:p>
    <w:p>
      <w:pPr>
        <w:spacing w:before="0" w:after="600"/>
        <w:jc w:val="center"/>
      </w:pPr>
      <w:r>
        <w:rPr>
          <w:rFonts w:ascii="Arial" w:cs="Arial" w:eastAsia="Arial" w:hAnsi="Arial"/>
          <w:color w:val="757575"/>
          <w:sz w:val="22"/>
          <w:szCs w:val="22"/>
        </w:rPr>
        <w:t xml:space="preserve">Data Source: Divvy / Motivate International Inc.</w:t>
      </w:r>
    </w:p>
    <w:p>
      <w:pPr>
        <w:spacing w:before="120" w:after="12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3238500"/>
                    </a:xfrm>
                    <a:prstGeom prst="rect">
                      <a:avLst/>
                    </a:prstGeom>
                  </pic:spPr>
                </pic:pic>
              </a:graphicData>
            </a:graphic>
          </wp:inline>
        </w:drawing>
      </w:r>
    </w:p>
    <w:p>
      <w:r>
        <w:br w:type="page"/>
      </w:r>
    </w:p>
    <w:p>
      <w:pPr>
        <w:pStyle w:val="Heading1"/>
        <w:spacing w:before="400" w:after="160"/>
      </w:pPr>
      <w:r>
        <w:rPr>
          <w:rFonts w:ascii="Arial" w:cs="Arial" w:eastAsia="Arial" w:hAnsi="Arial"/>
          <w:b/>
          <w:bCs/>
          <w:color w:val="1565C0"/>
          <w:sz w:val="32"/>
          <w:szCs w:val="32"/>
        </w:rPr>
        <w:t xml:space="preserve">1. Business Task</w:t>
      </w:r>
    </w:p>
    <w:p>
      <w:pPr>
        <w:spacing w:before="80" w:after="80"/>
      </w:pPr>
      <w:r>
        <w:rPr>
          <w:rFonts w:ascii="Arial" w:cs="Arial" w:eastAsia="Arial" w:hAnsi="Arial"/>
          <w:color w:val="424242"/>
          <w:sz w:val="22"/>
          <w:szCs w:val="22"/>
        </w:rPr>
        <w:t xml:space="preserve">Cyclistic's finance analysts have confirmed that annual members are significantly more profitable than casual riders. The director of marketing, Lily Moreno, has identified converting existing casual riders into annual members as the highest-leverage growth opportunity.</w:t>
      </w:r>
    </w:p>
    <w:p>
      <w:pPr>
        <w:spacing w:before="80" w:after="0"/>
      </w:pPr>
    </w:p>
    <w:p>
      <w:pPr>
        <w:spacing w:before="80" w:after="80"/>
      </w:pPr>
      <w:r>
        <w:rPr>
          <w:rFonts w:ascii="Arial" w:cs="Arial" w:eastAsia="Arial" w:hAnsi="Arial"/>
          <w:b/>
          <w:bCs/>
          <w:color w:val="424242"/>
          <w:sz w:val="22"/>
          <w:szCs w:val="22"/>
        </w:rPr>
        <w:t xml:space="preserve">Business question assigned to this analysis:</w:t>
      </w:r>
    </w:p>
    <w:p>
      <w:pPr>
        <w:pBdr>
          <w:left w:val="single" w:color="1565C0" w:sz="12" w:space="6"/>
        </w:pBdr>
        <w:spacing w:before="120" w:after="120"/>
        <w:ind w:left="720"/>
      </w:pPr>
      <w:r>
        <w:rPr>
          <w:rFonts w:ascii="Arial" w:cs="Arial" w:eastAsia="Arial" w:hAnsi="Arial"/>
          <w:b/>
          <w:bCs/>
          <w:i/>
          <w:iCs/>
          <w:color w:val="1565C0"/>
          <w:sz w:val="24"/>
          <w:szCs w:val="24"/>
        </w:rPr>
        <w:t xml:space="preserve">How do annual members and casual riders use Cyclistic bikes differently?</w:t>
      </w:r>
    </w:p>
    <w:p>
      <w:pPr>
        <w:spacing w:before="80" w:after="80"/>
      </w:pPr>
      <w:r>
        <w:rPr>
          <w:rFonts w:ascii="Arial" w:cs="Arial" w:eastAsia="Arial" w:hAnsi="Arial"/>
          <w:color w:val="424242"/>
          <w:sz w:val="22"/>
          <w:szCs w:val="22"/>
        </w:rPr>
        <w:t xml:space="preserve">Insights from this analysis will inform a targeted marketing strategy to maximize annual membership conversion. Recommendations must be backed by compelling data and professional visualizations for executive approval.</w:t>
      </w:r>
    </w:p>
    <w:p>
      <w:pPr>
        <w:pBdr>
          <w:bottom w:val="single" w:color="1565C0" w:sz="4" w:space="4"/>
        </w:pBdr>
        <w:spacing w:before="160" w:after="160"/>
      </w:pPr>
    </w:p>
    <w:p>
      <w:pPr>
        <w:pStyle w:val="Heading1"/>
        <w:spacing w:before="400" w:after="160"/>
      </w:pPr>
      <w:r>
        <w:rPr>
          <w:rFonts w:ascii="Arial" w:cs="Arial" w:eastAsia="Arial" w:hAnsi="Arial"/>
          <w:b/>
          <w:bCs/>
          <w:color w:val="1565C0"/>
          <w:sz w:val="32"/>
          <w:szCs w:val="32"/>
        </w:rPr>
        <w:t xml:space="preserve">2. Data Sources</w:t>
      </w:r>
    </w:p>
    <w:p>
      <w:pPr>
        <w:spacing w:before="80" w:after="80"/>
      </w:pPr>
      <w:r>
        <w:rPr>
          <w:rFonts w:ascii="Arial" w:cs="Arial" w:eastAsia="Arial" w:hAnsi="Arial"/>
          <w:color w:val="424242"/>
          <w:sz w:val="22"/>
          <w:szCs w:val="22"/>
        </w:rPr>
        <w:t xml:space="preserve">Two datasets were used, covering Q1 of consecutive years: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2480"/>
        <w:gridCol w:w="2000"/>
      </w:tblGrid>
      <w:tr>
        <w:trPr>
          <w:tblHeader/>
        </w:trPr>
        <w:tc>
          <w:tcPr>
            <w:tcW w:type="dxa" w:w="2340"/>
            <w:tcBorders>
              <w:top w:val="single" w:color="CCCCCC" w:sz="1"/>
              <w:left w:val="single" w:color="CCCCCC" w:sz="1"/>
              <w:bottom w:val="single" w:color="CCCCCC" w:sz="1"/>
              <w:right w:val="single" w:color="CCCCCC" w:sz="1"/>
            </w:tcBorders>
            <w:shd w:fill="1565C0" w:val="clear"/>
            <w:tcMar>
              <w:top w:type="dxa" w:w="100"/>
              <w:left w:type="dxa" w:w="160"/>
              <w:bottom w:type="dxa" w:w="100"/>
              <w:right w:type="dxa" w:w="160"/>
            </w:tcMar>
          </w:tcPr>
          <w:p>
            <w:r>
              <w:rPr>
                <w:rFonts w:ascii="Arial" w:cs="Arial" w:eastAsia="Arial" w:hAnsi="Arial"/>
                <w:b/>
                <w:bCs/>
                <w:color w:val="FFFFFF"/>
                <w:sz w:val="21"/>
                <w:szCs w:val="21"/>
              </w:rPr>
              <w:t xml:space="preserve">Dataset</w:t>
            </w:r>
          </w:p>
        </w:tc>
        <w:tc>
          <w:tcPr>
            <w:tcW w:type="dxa" w:w="2340"/>
            <w:tcBorders>
              <w:top w:val="single" w:color="CCCCCC" w:sz="1"/>
              <w:left w:val="single" w:color="CCCCCC" w:sz="1"/>
              <w:bottom w:val="single" w:color="CCCCCC" w:sz="1"/>
              <w:right w:val="single" w:color="CCCCCC" w:sz="1"/>
            </w:tcBorders>
            <w:shd w:fill="1565C0" w:val="clear"/>
            <w:tcMar>
              <w:top w:type="dxa" w:w="100"/>
              <w:left w:type="dxa" w:w="160"/>
              <w:bottom w:type="dxa" w:w="100"/>
              <w:right w:type="dxa" w:w="160"/>
            </w:tcMar>
          </w:tcPr>
          <w:p>
            <w:r>
              <w:rPr>
                <w:rFonts w:ascii="Arial" w:cs="Arial" w:eastAsia="Arial" w:hAnsi="Arial"/>
                <w:b/>
                <w:bCs/>
                <w:color w:val="FFFFFF"/>
                <w:sz w:val="21"/>
                <w:szCs w:val="21"/>
              </w:rPr>
              <w:t xml:space="preserve">Period</w:t>
            </w:r>
          </w:p>
        </w:tc>
        <w:tc>
          <w:tcPr>
            <w:tcW w:type="dxa" w:w="2340"/>
            <w:tcBorders>
              <w:top w:val="single" w:color="CCCCCC" w:sz="1"/>
              <w:left w:val="single" w:color="CCCCCC" w:sz="1"/>
              <w:bottom w:val="single" w:color="CCCCCC" w:sz="1"/>
              <w:right w:val="single" w:color="CCCCCC" w:sz="1"/>
            </w:tcBorders>
            <w:shd w:fill="1565C0" w:val="clear"/>
            <w:tcMar>
              <w:top w:type="dxa" w:w="100"/>
              <w:left w:type="dxa" w:w="160"/>
              <w:bottom w:type="dxa" w:w="100"/>
              <w:right w:type="dxa" w:w="160"/>
            </w:tcMar>
          </w:tcPr>
          <w:p>
            <w:r>
              <w:rPr>
                <w:rFonts w:ascii="Arial" w:cs="Arial" w:eastAsia="Arial" w:hAnsi="Arial"/>
                <w:b/>
                <w:bCs/>
                <w:color w:val="FFFFFF"/>
                <w:sz w:val="21"/>
                <w:szCs w:val="21"/>
              </w:rPr>
              <w:t xml:space="preserve">Rows</w:t>
            </w:r>
          </w:p>
        </w:tc>
        <w:tc>
          <w:tcPr>
            <w:tcW w:type="dxa" w:w="2340"/>
            <w:tcBorders>
              <w:top w:val="single" w:color="CCCCCC" w:sz="1"/>
              <w:left w:val="single" w:color="CCCCCC" w:sz="1"/>
              <w:bottom w:val="single" w:color="CCCCCC" w:sz="1"/>
              <w:right w:val="single" w:color="CCCCCC" w:sz="1"/>
            </w:tcBorders>
            <w:shd w:fill="1565C0" w:val="clear"/>
            <w:tcMar>
              <w:top w:type="dxa" w:w="100"/>
              <w:left w:type="dxa" w:w="160"/>
              <w:bottom w:type="dxa" w:w="100"/>
              <w:right w:type="dxa" w:w="160"/>
            </w:tcMar>
          </w:tcPr>
          <w:p>
            <w:r>
              <w:rPr>
                <w:rFonts w:ascii="Arial" w:cs="Arial" w:eastAsia="Arial" w:hAnsi="Arial"/>
                <w:b/>
                <w:bCs/>
                <w:color w:val="FFFFFF"/>
                <w:sz w:val="21"/>
                <w:szCs w:val="21"/>
              </w:rPr>
              <w:t xml:space="preserve">Key Fields</w:t>
            </w:r>
          </w:p>
        </w:tc>
      </w:tr>
      <w:tr>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24242"/>
                <w:sz w:val="21"/>
                <w:szCs w:val="21"/>
              </w:rPr>
              <w:t xml:space="preserve">Divvy_Trips_2019_Q1</w:t>
            </w:r>
          </w:p>
        </w:tc>
        <w:tc>
          <w:tcPr>
            <w:tcW w:type="dxa" w:w="24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24242"/>
                <w:sz w:val="21"/>
                <w:szCs w:val="21"/>
              </w:rPr>
              <w:t xml:space="preserve">Jan – Mar 2019</w:t>
            </w:r>
          </w:p>
        </w:tc>
        <w:tc>
          <w:tcPr>
            <w:tcW w:type="dxa" w:w="24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24242"/>
                <w:sz w:val="21"/>
                <w:szCs w:val="21"/>
              </w:rPr>
              <w:t xml:space="preserve">365,069</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24242"/>
                <w:sz w:val="21"/>
                <w:szCs w:val="21"/>
              </w:rPr>
              <w:t xml:space="preserve">trip_id, start_time, end_time, usertype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24242"/>
                <w:sz w:val="21"/>
                <w:szCs w:val="21"/>
              </w:rPr>
              <w:t xml:space="preserve">Divvy_Trips_2020_Q1</w:t>
            </w:r>
          </w:p>
        </w:tc>
        <w:tc>
          <w:tcPr>
            <w:tcW w:type="dxa" w:w="24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24242"/>
                <w:sz w:val="21"/>
                <w:szCs w:val="21"/>
              </w:rPr>
              <w:t xml:space="preserve">Jan – Mar 2020</w:t>
            </w:r>
          </w:p>
        </w:tc>
        <w:tc>
          <w:tcPr>
            <w:tcW w:type="dxa" w:w="24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24242"/>
                <w:sz w:val="21"/>
                <w:szCs w:val="21"/>
              </w:rPr>
              <w:t xml:space="preserve">426,886</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24242"/>
                <w:sz w:val="21"/>
                <w:szCs w:val="21"/>
              </w:rPr>
              <w:t xml:space="preserve">ride_id, started_at, ended_at, member_casual</w:t>
            </w:r>
          </w:p>
        </w:tc>
      </w:tr>
    </w:tbl>
    <w:p>
      <w:pPr>
        <w:spacing w:before="120" w:after="0"/>
      </w:pPr>
    </w:p>
    <w:p>
      <w:pPr>
        <w:spacing w:before="80" w:after="80"/>
      </w:pPr>
      <w:r>
        <w:rPr>
          <w:rFonts w:ascii="Arial" w:cs="Arial" w:eastAsia="Arial" w:hAnsi="Arial"/>
          <w:color w:val="424242"/>
          <w:sz w:val="22"/>
          <w:szCs w:val="22"/>
        </w:rPr>
        <w:t xml:space="preserve">Data is made publicly available by Motivate International Inc. under their data license agreement. No personally identifiable information (PII) is included; riders cannot be linked to credit card numbers or home addresses.</w:t>
      </w:r>
    </w:p>
    <w:p>
      <w:pPr>
        <w:pBdr>
          <w:bottom w:val="single" w:color="1565C0" w:sz="4" w:space="4"/>
        </w:pBdr>
        <w:spacing w:before="160" w:after="160"/>
      </w:pPr>
    </w:p>
    <w:p>
      <w:pPr>
        <w:pStyle w:val="Heading1"/>
        <w:spacing w:before="400" w:after="160"/>
      </w:pPr>
      <w:r>
        <w:rPr>
          <w:rFonts w:ascii="Arial" w:cs="Arial" w:eastAsia="Arial" w:hAnsi="Arial"/>
          <w:b/>
          <w:bCs/>
          <w:color w:val="1565C0"/>
          <w:sz w:val="32"/>
          <w:szCs w:val="32"/>
        </w:rPr>
        <w:t xml:space="preserve">3. Data Cleaning &amp; Processing</w:t>
      </w:r>
    </w:p>
    <w:p>
      <w:pPr>
        <w:pStyle w:val="Heading2"/>
        <w:spacing w:before="280" w:after="120"/>
      </w:pPr>
      <w:r>
        <w:rPr>
          <w:rFonts w:ascii="Arial" w:cs="Arial" w:eastAsia="Arial" w:hAnsi="Arial"/>
          <w:b/>
          <w:bCs/>
          <w:color w:val="424242"/>
          <w:sz w:val="26"/>
          <w:szCs w:val="26"/>
        </w:rPr>
        <w:t xml:space="preserve">Column Standardisation</w:t>
      </w:r>
    </w:p>
    <w:p>
      <w:pPr>
        <w:spacing w:before="80" w:after="80"/>
      </w:pPr>
      <w:r>
        <w:rPr>
          <w:rFonts w:ascii="Arial" w:cs="Arial" w:eastAsia="Arial" w:hAnsi="Arial"/>
          <w:color w:val="424242"/>
          <w:sz w:val="22"/>
          <w:szCs w:val="22"/>
        </w:rPr>
        <w:t xml:space="preserve">The 2019 dataset used different column names than the 2020 dataset. The following renames were applied to make schemas consistent:</w:t>
      </w:r>
    </w:p>
    <w:p>
      <w:pPr>
        <w:spacing w:before="60" w:after="0"/>
      </w:pPr>
    </w:p>
    <w:p>
      <w:pPr>
        <w:pStyle w:val="ListParagraph"/>
        <w:numPr>
          <w:ilvl w:val="0"/>
          <w:numId w:val="2"/>
        </w:numPr>
        <w:spacing w:before="60" w:after="60"/>
      </w:pPr>
      <w:r>
        <w:rPr>
          <w:rFonts w:ascii="Arial" w:cs="Arial" w:eastAsia="Arial" w:hAnsi="Arial"/>
          <w:color w:val="424242"/>
          <w:sz w:val="22"/>
          <w:szCs w:val="22"/>
        </w:rPr>
        <w:t xml:space="preserve">trip_id → ride_id</w:t>
      </w:r>
    </w:p>
    <w:p>
      <w:pPr>
        <w:pStyle w:val="ListParagraph"/>
        <w:numPr>
          <w:ilvl w:val="0"/>
          <w:numId w:val="2"/>
        </w:numPr>
        <w:spacing w:before="60" w:after="60"/>
      </w:pPr>
      <w:r>
        <w:rPr>
          <w:rFonts w:ascii="Arial" w:cs="Arial" w:eastAsia="Arial" w:hAnsi="Arial"/>
          <w:color w:val="424242"/>
          <w:sz w:val="22"/>
          <w:szCs w:val="22"/>
        </w:rPr>
        <w:t xml:space="preserve">start_time / end_time → started_at / ended_at</w:t>
      </w:r>
    </w:p>
    <w:p>
      <w:pPr>
        <w:pStyle w:val="ListParagraph"/>
        <w:numPr>
          <w:ilvl w:val="0"/>
          <w:numId w:val="2"/>
        </w:numPr>
        <w:spacing w:before="60" w:after="60"/>
      </w:pPr>
      <w:r>
        <w:rPr>
          <w:rFonts w:ascii="Arial" w:cs="Arial" w:eastAsia="Arial" w:hAnsi="Arial"/>
          <w:color w:val="424242"/>
          <w:sz w:val="22"/>
          <w:szCs w:val="22"/>
        </w:rPr>
        <w:t xml:space="preserve">from_station_name / to_station_name → start_station_name / end_station_name</w:t>
      </w:r>
    </w:p>
    <w:p>
      <w:pPr>
        <w:pStyle w:val="ListParagraph"/>
        <w:numPr>
          <w:ilvl w:val="0"/>
          <w:numId w:val="2"/>
        </w:numPr>
        <w:spacing w:before="60" w:after="60"/>
      </w:pPr>
      <w:r>
        <w:rPr>
          <w:rFonts w:ascii="Arial" w:cs="Arial" w:eastAsia="Arial" w:hAnsi="Arial"/>
          <w:color w:val="424242"/>
          <w:sz w:val="22"/>
          <w:szCs w:val="22"/>
        </w:rPr>
        <w:t xml:space="preserve">usertype (Subscriber/Customer) → member_casual (member/casual)</w:t>
      </w:r>
    </w:p>
    <w:p>
      <w:pPr>
        <w:spacing w:before="80" w:after="0"/>
      </w:pPr>
    </w:p>
    <w:p>
      <w:pPr>
        <w:pStyle w:val="Heading2"/>
        <w:spacing w:before="280" w:after="120"/>
      </w:pPr>
      <w:r>
        <w:rPr>
          <w:rFonts w:ascii="Arial" w:cs="Arial" w:eastAsia="Arial" w:hAnsi="Arial"/>
          <w:b/>
          <w:bCs/>
          <w:color w:val="424242"/>
          <w:sz w:val="26"/>
          <w:szCs w:val="26"/>
        </w:rPr>
        <w:t xml:space="preserve">Feature Engineering</w:t>
      </w:r>
    </w:p>
    <w:p>
      <w:pPr>
        <w:pStyle w:val="ListParagraph"/>
        <w:numPr>
          <w:ilvl w:val="0"/>
          <w:numId w:val="2"/>
        </w:numPr>
        <w:spacing w:before="60" w:after="60"/>
      </w:pPr>
      <w:r>
        <w:rPr>
          <w:rFonts w:ascii="Arial" w:cs="Arial" w:eastAsia="Arial" w:hAnsi="Arial"/>
          <w:color w:val="424242"/>
          <w:sz w:val="22"/>
          <w:szCs w:val="22"/>
        </w:rPr>
        <w:t xml:space="preserve">ride_length_min: ride duration in minutes = (ended_at - started_at) / 60</w:t>
      </w:r>
    </w:p>
    <w:p>
      <w:pPr>
        <w:pStyle w:val="ListParagraph"/>
        <w:numPr>
          <w:ilvl w:val="0"/>
          <w:numId w:val="2"/>
        </w:numPr>
        <w:spacing w:before="60" w:after="60"/>
      </w:pPr>
      <w:r>
        <w:rPr>
          <w:rFonts w:ascii="Arial" w:cs="Arial" w:eastAsia="Arial" w:hAnsi="Arial"/>
          <w:color w:val="424242"/>
          <w:sz w:val="22"/>
          <w:szCs w:val="22"/>
        </w:rPr>
        <w:t xml:space="preserve">day_of_week: day name extracted from started_at</w:t>
      </w:r>
    </w:p>
    <w:p>
      <w:pPr>
        <w:pStyle w:val="ListParagraph"/>
        <w:numPr>
          <w:ilvl w:val="0"/>
          <w:numId w:val="2"/>
        </w:numPr>
        <w:spacing w:before="60" w:after="60"/>
      </w:pPr>
      <w:r>
        <w:rPr>
          <w:rFonts w:ascii="Arial" w:cs="Arial" w:eastAsia="Arial" w:hAnsi="Arial"/>
          <w:color w:val="424242"/>
          <w:sz w:val="22"/>
          <w:szCs w:val="22"/>
        </w:rPr>
        <w:t xml:space="preserve">hour: hour of day (0–23) extracted from started_at</w:t>
      </w:r>
    </w:p>
    <w:p>
      <w:pPr>
        <w:pStyle w:val="ListParagraph"/>
        <w:numPr>
          <w:ilvl w:val="0"/>
          <w:numId w:val="2"/>
        </w:numPr>
        <w:spacing w:before="60" w:after="60"/>
      </w:pPr>
      <w:r>
        <w:rPr>
          <w:rFonts w:ascii="Arial" w:cs="Arial" w:eastAsia="Arial" w:hAnsi="Arial"/>
          <w:color w:val="424242"/>
          <w:sz w:val="22"/>
          <w:szCs w:val="22"/>
        </w:rPr>
        <w:t xml:space="preserve">month: year-month period extracted from started_at</w:t>
      </w:r>
    </w:p>
    <w:p>
      <w:pPr>
        <w:spacing w:before="80" w:after="0"/>
      </w:pPr>
    </w:p>
    <w:p>
      <w:pPr>
        <w:pStyle w:val="Heading2"/>
        <w:spacing w:before="280" w:after="120"/>
      </w:pPr>
      <w:r>
        <w:rPr>
          <w:rFonts w:ascii="Arial" w:cs="Arial" w:eastAsia="Arial" w:hAnsi="Arial"/>
          <w:b/>
          <w:bCs/>
          <w:color w:val="424242"/>
          <w:sz w:val="26"/>
          <w:szCs w:val="26"/>
        </w:rPr>
        <w:t xml:space="preserve">Data Quality</w:t>
      </w:r>
    </w:p>
    <w:p>
      <w:pPr>
        <w:pStyle w:val="ListParagraph"/>
        <w:numPr>
          <w:ilvl w:val="0"/>
          <w:numId w:val="2"/>
        </w:numPr>
        <w:spacing w:before="60" w:after="60"/>
      </w:pPr>
      <w:r>
        <w:rPr>
          <w:rFonts w:ascii="Arial" w:cs="Arial" w:eastAsia="Arial" w:hAnsi="Arial"/>
          <w:color w:val="424242"/>
          <w:sz w:val="22"/>
          <w:szCs w:val="22"/>
        </w:rPr>
        <w:t xml:space="preserve">Rows with ride_length_min ≤ 0 (negative or zero durations) removed</w:t>
      </w:r>
    </w:p>
    <w:p>
      <w:pPr>
        <w:pStyle w:val="ListParagraph"/>
        <w:numPr>
          <w:ilvl w:val="0"/>
          <w:numId w:val="2"/>
        </w:numPr>
        <w:spacing w:before="60" w:after="60"/>
      </w:pPr>
      <w:r>
        <w:rPr>
          <w:rFonts w:ascii="Arial" w:cs="Arial" w:eastAsia="Arial" w:hAnsi="Arial"/>
          <w:color w:val="424242"/>
          <w:sz w:val="22"/>
          <w:szCs w:val="22"/>
        </w:rPr>
        <w:t xml:space="preserve">Rows with ride_length_min ≥ 1,440 min (24 hrs+) removed as likely maintenance trips</w:t>
      </w:r>
    </w:p>
    <w:p>
      <w:pPr>
        <w:pStyle w:val="ListParagraph"/>
        <w:numPr>
          <w:ilvl w:val="0"/>
          <w:numId w:val="2"/>
        </w:numPr>
        <w:spacing w:before="60" w:after="60"/>
      </w:pPr>
      <w:r>
        <w:rPr>
          <w:rFonts w:ascii="Arial" w:cs="Arial" w:eastAsia="Arial" w:hAnsi="Arial"/>
          <w:color w:val="424242"/>
          <w:sz w:val="22"/>
          <w:szCs w:val="22"/>
        </w:rPr>
        <w:t xml:space="preserve">Total rows removed: 692 out of 791,956 (&lt;0.1%)</w:t>
      </w:r>
    </w:p>
    <w:p>
      <w:pPr>
        <w:pStyle w:val="ListParagraph"/>
        <w:numPr>
          <w:ilvl w:val="0"/>
          <w:numId w:val="2"/>
        </w:numPr>
        <w:spacing w:before="60" w:after="60"/>
      </w:pPr>
      <w:r>
        <w:rPr>
          <w:rFonts w:ascii="Arial" w:cs="Arial" w:eastAsia="Arial" w:hAnsi="Arial"/>
          <w:color w:val="424242"/>
          <w:sz w:val="22"/>
          <w:szCs w:val="22"/>
        </w:rPr>
        <w:t xml:space="preserve">Final clean dataset: 791,264 rides</w:t>
      </w:r>
    </w:p>
    <w:p>
      <w:pPr>
        <w:pBdr>
          <w:bottom w:val="single" w:color="1565C0" w:sz="4" w:space="4"/>
        </w:pBdr>
        <w:spacing w:before="160" w:after="160"/>
      </w:pPr>
    </w:p>
    <w:p>
      <w:pPr>
        <w:pStyle w:val="Heading1"/>
        <w:spacing w:before="400" w:after="160"/>
      </w:pPr>
      <w:r>
        <w:rPr>
          <w:rFonts w:ascii="Arial" w:cs="Arial" w:eastAsia="Arial" w:hAnsi="Arial"/>
          <w:b/>
          <w:bCs/>
          <w:color w:val="1565C0"/>
          <w:sz w:val="32"/>
          <w:szCs w:val="32"/>
        </w:rPr>
        <w:t xml:space="preserve">4. Analysis Summary</w:t>
      </w:r>
    </w:p>
    <w:p>
      <w:pPr>
        <w:pStyle w:val="Heading2"/>
        <w:spacing w:before="280" w:after="120"/>
      </w:pPr>
      <w:r>
        <w:rPr>
          <w:rFonts w:ascii="Arial" w:cs="Arial" w:eastAsia="Arial" w:hAnsi="Arial"/>
          <w:b/>
          <w:bCs/>
          <w:color w:val="424242"/>
          <w:sz w:val="26"/>
          <w:szCs w:val="26"/>
        </w:rPr>
        <w:t xml:space="preserve">Key Statistics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24242" w:val="clear"/>
            <w:tcMar>
              <w:top w:type="dxa" w:w="120"/>
              <w:left w:type="dxa" w:w="180"/>
              <w:bottom w:type="dxa" w:w="120"/>
              <w:right w:type="dxa" w:w="180"/>
            </w:tcMar>
          </w:tcPr>
          <w:p>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565C0"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Member</w:t>
            </w:r>
          </w:p>
        </w:tc>
        <w:tc>
          <w:tcPr>
            <w:tcW w:type="dxa" w:w="3120"/>
            <w:tcBorders>
              <w:top w:val="single" w:color="CCCCCC" w:sz="1"/>
              <w:left w:val="single" w:color="CCCCCC" w:sz="1"/>
              <w:bottom w:val="single" w:color="CCCCCC" w:sz="1"/>
              <w:right w:val="single" w:color="CCCCCC" w:sz="1"/>
            </w:tcBorders>
            <w:shd w:fill="E65100"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Casual</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rFonts w:ascii="Arial" w:cs="Arial" w:eastAsia="Arial" w:hAnsi="Arial"/>
                <w:b/>
                <w:bCs/>
                <w:color w:val="424242"/>
                <w:sz w:val="22"/>
                <w:szCs w:val="22"/>
              </w:rPr>
              <w:t xml:space="preserve">Total Rides</w:t>
            </w:r>
          </w:p>
        </w:tc>
        <w:tc>
          <w:tcPr>
            <w:tcW w:type="dxa" w:w="3120"/>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jc w:val="center"/>
            </w:pPr>
            <w:r>
              <w:rPr>
                <w:rFonts w:ascii="Arial" w:cs="Arial" w:eastAsia="Arial" w:hAnsi="Arial"/>
                <w:b/>
                <w:bCs/>
                <w:color w:val="1565C0"/>
                <w:sz w:val="22"/>
                <w:szCs w:val="22"/>
              </w:rPr>
              <w:t xml:space="preserve">720,126 (91%)</w:t>
            </w:r>
          </w:p>
        </w:tc>
        <w:tc>
          <w:tcPr>
            <w:tcW w:type="dxa" w:w="312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vAlign w:val="center"/>
          </w:tcPr>
          <w:p>
            <w:pPr>
              <w:jc w:val="center"/>
            </w:pPr>
            <w:r>
              <w:rPr>
                <w:rFonts w:ascii="Arial" w:cs="Arial" w:eastAsia="Arial" w:hAnsi="Arial"/>
                <w:b/>
                <w:bCs/>
                <w:color w:val="E65100"/>
                <w:sz w:val="22"/>
                <w:szCs w:val="22"/>
              </w:rPr>
              <w:t xml:space="preserve">71,138 (9%)</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rFonts w:ascii="Arial" w:cs="Arial" w:eastAsia="Arial" w:hAnsi="Arial"/>
                <w:b/>
                <w:bCs/>
                <w:color w:val="424242"/>
                <w:sz w:val="22"/>
                <w:szCs w:val="22"/>
              </w:rPr>
              <w:t xml:space="preserve">Avg Ride Duration</w:t>
            </w:r>
          </w:p>
        </w:tc>
        <w:tc>
          <w:tcPr>
            <w:tcW w:type="dxa" w:w="3120"/>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jc w:val="center"/>
            </w:pPr>
            <w:r>
              <w:rPr>
                <w:rFonts w:ascii="Arial" w:cs="Arial" w:eastAsia="Arial" w:hAnsi="Arial"/>
                <w:b/>
                <w:bCs/>
                <w:color w:val="1565C0"/>
                <w:sz w:val="22"/>
                <w:szCs w:val="22"/>
              </w:rPr>
              <w:t xml:space="preserve">11.4 min</w:t>
            </w:r>
          </w:p>
        </w:tc>
        <w:tc>
          <w:tcPr>
            <w:tcW w:type="dxa" w:w="312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vAlign w:val="center"/>
          </w:tcPr>
          <w:p>
            <w:pPr>
              <w:jc w:val="center"/>
            </w:pPr>
            <w:r>
              <w:rPr>
                <w:rFonts w:ascii="Arial" w:cs="Arial" w:eastAsia="Arial" w:hAnsi="Arial"/>
                <w:b/>
                <w:bCs/>
                <w:color w:val="E65100"/>
                <w:sz w:val="22"/>
                <w:szCs w:val="22"/>
              </w:rPr>
              <w:t xml:space="preserve">36.5 min</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rFonts w:ascii="Arial" w:cs="Arial" w:eastAsia="Arial" w:hAnsi="Arial"/>
                <w:b/>
                <w:bCs/>
                <w:color w:val="424242"/>
                <w:sz w:val="22"/>
                <w:szCs w:val="22"/>
              </w:rPr>
              <w:t xml:space="preserve">Median Ride Duration</w:t>
            </w:r>
          </w:p>
        </w:tc>
        <w:tc>
          <w:tcPr>
            <w:tcW w:type="dxa" w:w="3120"/>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jc w:val="center"/>
            </w:pPr>
            <w:r>
              <w:rPr>
                <w:rFonts w:ascii="Arial" w:cs="Arial" w:eastAsia="Arial" w:hAnsi="Arial"/>
                <w:b/>
                <w:bCs/>
                <w:color w:val="1565C0"/>
                <w:sz w:val="22"/>
                <w:szCs w:val="22"/>
              </w:rPr>
              <w:t xml:space="preserve">8.5 min</w:t>
            </w:r>
          </w:p>
        </w:tc>
        <w:tc>
          <w:tcPr>
            <w:tcW w:type="dxa" w:w="312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vAlign w:val="center"/>
          </w:tcPr>
          <w:p>
            <w:pPr>
              <w:jc w:val="center"/>
            </w:pPr>
            <w:r>
              <w:rPr>
                <w:rFonts w:ascii="Arial" w:cs="Arial" w:eastAsia="Arial" w:hAnsi="Arial"/>
                <w:b/>
                <w:bCs/>
                <w:color w:val="E65100"/>
                <w:sz w:val="22"/>
                <w:szCs w:val="22"/>
              </w:rPr>
              <w:t xml:space="preserve">22.0 min</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rFonts w:ascii="Arial" w:cs="Arial" w:eastAsia="Arial" w:hAnsi="Arial"/>
                <w:b/>
                <w:bCs/>
                <w:color w:val="424242"/>
                <w:sz w:val="22"/>
                <w:szCs w:val="22"/>
              </w:rPr>
              <w:t xml:space="preserve">Peak Days</w:t>
            </w:r>
          </w:p>
        </w:tc>
        <w:tc>
          <w:tcPr>
            <w:tcW w:type="dxa" w:w="3120"/>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jc w:val="center"/>
            </w:pPr>
            <w:r>
              <w:rPr>
                <w:rFonts w:ascii="Arial" w:cs="Arial" w:eastAsia="Arial" w:hAnsi="Arial"/>
                <w:b/>
                <w:bCs/>
                <w:color w:val="1565C0"/>
                <w:sz w:val="22"/>
                <w:szCs w:val="22"/>
              </w:rPr>
              <w:t xml:space="preserve">Tue – Thu</w:t>
            </w:r>
          </w:p>
        </w:tc>
        <w:tc>
          <w:tcPr>
            <w:tcW w:type="dxa" w:w="312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vAlign w:val="center"/>
          </w:tcPr>
          <w:p>
            <w:pPr>
              <w:jc w:val="center"/>
            </w:pPr>
            <w:r>
              <w:rPr>
                <w:rFonts w:ascii="Arial" w:cs="Arial" w:eastAsia="Arial" w:hAnsi="Arial"/>
                <w:b/>
                <w:bCs/>
                <w:color w:val="E65100"/>
                <w:sz w:val="22"/>
                <w:szCs w:val="22"/>
              </w:rPr>
              <w:t xml:space="preserve">Sat – Sun</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rFonts w:ascii="Arial" w:cs="Arial" w:eastAsia="Arial" w:hAnsi="Arial"/>
                <w:b/>
                <w:bCs/>
                <w:color w:val="424242"/>
                <w:sz w:val="22"/>
                <w:szCs w:val="22"/>
              </w:rPr>
              <w:t xml:space="preserve">Peak Hours</w:t>
            </w:r>
          </w:p>
        </w:tc>
        <w:tc>
          <w:tcPr>
            <w:tcW w:type="dxa" w:w="3120"/>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jc w:val="center"/>
            </w:pPr>
            <w:r>
              <w:rPr>
                <w:rFonts w:ascii="Arial" w:cs="Arial" w:eastAsia="Arial" w:hAnsi="Arial"/>
                <w:b/>
                <w:bCs/>
                <w:color w:val="1565C0"/>
                <w:sz w:val="22"/>
                <w:szCs w:val="22"/>
              </w:rPr>
              <w:t xml:space="preserve">7–9 AM, 5–6 PM</w:t>
            </w:r>
          </w:p>
        </w:tc>
        <w:tc>
          <w:tcPr>
            <w:tcW w:type="dxa" w:w="312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vAlign w:val="center"/>
          </w:tcPr>
          <w:p>
            <w:pPr>
              <w:jc w:val="center"/>
            </w:pPr>
            <w:r>
              <w:rPr>
                <w:rFonts w:ascii="Arial" w:cs="Arial" w:eastAsia="Arial" w:hAnsi="Arial"/>
                <w:b/>
                <w:bCs/>
                <w:color w:val="E65100"/>
                <w:sz w:val="22"/>
                <w:szCs w:val="22"/>
              </w:rPr>
              <w:t xml:space="preserve">10 AM – 4 PM</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rFonts w:ascii="Arial" w:cs="Arial" w:eastAsia="Arial" w:hAnsi="Arial"/>
                <w:b/>
                <w:bCs/>
                <w:color w:val="424242"/>
                <w:sz w:val="22"/>
                <w:szCs w:val="22"/>
              </w:rPr>
              <w:t xml:space="preserve">Riding Pattern</w:t>
            </w:r>
          </w:p>
        </w:tc>
        <w:tc>
          <w:tcPr>
            <w:tcW w:type="dxa" w:w="3120"/>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jc w:val="center"/>
            </w:pPr>
            <w:r>
              <w:rPr>
                <w:rFonts w:ascii="Arial" w:cs="Arial" w:eastAsia="Arial" w:hAnsi="Arial"/>
                <w:b/>
                <w:bCs/>
                <w:color w:val="1565C0"/>
                <w:sz w:val="22"/>
                <w:szCs w:val="22"/>
              </w:rPr>
              <w:t xml:space="preserve">Commute-oriented</w:t>
            </w:r>
          </w:p>
        </w:tc>
        <w:tc>
          <w:tcPr>
            <w:tcW w:type="dxa" w:w="312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vAlign w:val="center"/>
          </w:tcPr>
          <w:p>
            <w:pPr>
              <w:jc w:val="center"/>
            </w:pPr>
            <w:r>
              <w:rPr>
                <w:rFonts w:ascii="Arial" w:cs="Arial" w:eastAsia="Arial" w:hAnsi="Arial"/>
                <w:b/>
                <w:bCs/>
                <w:color w:val="E65100"/>
                <w:sz w:val="22"/>
                <w:szCs w:val="22"/>
              </w:rPr>
              <w:t xml:space="preserve">Leisure-oriented</w:t>
            </w:r>
          </w:p>
        </w:tc>
      </w:tr>
    </w:tbl>
    <w:p>
      <w:pPr>
        <w:spacing w:before="200" w:after="0"/>
      </w:pPr>
    </w:p>
    <w:p>
      <w:pPr>
        <w:pStyle w:val="Heading2"/>
        <w:spacing w:before="280" w:after="120"/>
      </w:pPr>
      <w:r>
        <w:rPr>
          <w:rFonts w:ascii="Arial" w:cs="Arial" w:eastAsia="Arial" w:hAnsi="Arial"/>
          <w:b/>
          <w:bCs/>
          <w:color w:val="424242"/>
          <w:sz w:val="26"/>
          <w:szCs w:val="26"/>
        </w:rPr>
        <w:t xml:space="preserve">Finding 1: Members Dominate Volume, Casuals Ride Longer</w:t>
      </w:r>
    </w:p>
    <w:p>
      <w:pPr>
        <w:spacing w:before="80" w:after="80"/>
      </w:pPr>
      <w:r>
        <w:rPr>
          <w:rFonts w:ascii="Arial" w:cs="Arial" w:eastAsia="Arial" w:hAnsi="Arial"/>
          <w:color w:val="424242"/>
          <w:sz w:val="22"/>
          <w:szCs w:val="22"/>
        </w:rPr>
        <w:t xml:space="preserve">Members account for 91% of all Q1 rides (720,126) while casual riders represent just 9% (71,138). However, casual riders take rides that are on average 3.2x longer — 36.5 minutes versus 11.4 minutes for members. This pattern strongly suggests members use bikes for short, routine commutes while casual riders use them for extended leisure trips.</w:t>
      </w:r>
    </w:p>
    <w:p>
      <w:pPr>
        <w:spacing w:before="120" w:after="12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62250"/>
                    </a:xfrm>
                    <a:prstGeom prst="rect">
                      <a:avLst/>
                    </a:prstGeom>
                  </pic:spPr>
                </pic:pic>
              </a:graphicData>
            </a:graphic>
          </wp:inline>
        </w:drawing>
      </w:r>
    </w:p>
    <w:p>
      <w:pPr>
        <w:pStyle w:val="Heading2"/>
        <w:spacing w:before="280" w:after="120"/>
      </w:pPr>
      <w:r>
        <w:rPr>
          <w:rFonts w:ascii="Arial" w:cs="Arial" w:eastAsia="Arial" w:hAnsi="Arial"/>
          <w:b/>
          <w:bCs/>
          <w:color w:val="424242"/>
          <w:sz w:val="26"/>
          <w:szCs w:val="26"/>
        </w:rPr>
        <w:t xml:space="preserve">Finding 2: Members Ride on Weekdays, Casuals Ride on Weekends</w:t>
      </w:r>
    </w:p>
    <w:p>
      <w:pPr>
        <w:spacing w:before="80" w:after="80"/>
      </w:pPr>
      <w:r>
        <w:rPr>
          <w:rFonts w:ascii="Arial" w:cs="Arial" w:eastAsia="Arial" w:hAnsi="Arial"/>
          <w:color w:val="424242"/>
          <w:sz w:val="22"/>
          <w:szCs w:val="22"/>
        </w:rPr>
        <w:t xml:space="preserve">Member ridership peaks mid-week (Tuesday through Thursday) and drops sharply on weekends, consistent with commuting behaviour. Casual ridership follows the opposite pattern, peaking Saturday and Sunday. This is a critical differentiator: casual riders are weekend leisure riders, not daily commuters.</w:t>
      </w:r>
    </w:p>
    <w:p>
      <w:pPr>
        <w:spacing w:before="120" w:after="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spacing w:before="120" w:after="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r>
        <w:br w:type="page"/>
      </w:r>
    </w:p>
    <w:p>
      <w:pPr>
        <w:pStyle w:val="Heading2"/>
        <w:spacing w:before="280" w:after="120"/>
      </w:pPr>
      <w:r>
        <w:rPr>
          <w:rFonts w:ascii="Arial" w:cs="Arial" w:eastAsia="Arial" w:hAnsi="Arial"/>
          <w:b/>
          <w:bCs/>
          <w:color w:val="424242"/>
          <w:sz w:val="26"/>
          <w:szCs w:val="26"/>
        </w:rPr>
        <w:t xml:space="preserve">Finding 3: Members Follow Classic Commute Hour Peaks</w:t>
      </w:r>
    </w:p>
    <w:p>
      <w:pPr>
        <w:spacing w:before="80" w:after="80"/>
      </w:pPr>
      <w:r>
        <w:rPr>
          <w:rFonts w:ascii="Arial" w:cs="Arial" w:eastAsia="Arial" w:hAnsi="Arial"/>
          <w:color w:val="424242"/>
          <w:sz w:val="22"/>
          <w:szCs w:val="22"/>
        </w:rPr>
        <w:t xml:space="preserve">The hourly ride pattern reveals a textbook dual-peak commute shape for members — strong spikes at 7–9 AM and 5–6 PM. Casual riders show a single broad peak from mid-morning through the afternoon (10 AM–4 PM), with no morning rush spike. This reinforces the commuter vs. leisure distinction.</w:t>
      </w:r>
    </w:p>
    <w:p>
      <w:pPr>
        <w:spacing w:before="120" w:after="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62250"/>
                    </a:xfrm>
                    <a:prstGeom prst="rect">
                      <a:avLst/>
                    </a:prstGeom>
                  </pic:spPr>
                </pic:pic>
              </a:graphicData>
            </a:graphic>
          </wp:inline>
        </w:drawing>
      </w:r>
    </w:p>
    <w:p>
      <w:pPr>
        <w:pStyle w:val="Heading2"/>
        <w:spacing w:before="280" w:after="120"/>
      </w:pPr>
      <w:r>
        <w:rPr>
          <w:rFonts w:ascii="Arial" w:cs="Arial" w:eastAsia="Arial" w:hAnsi="Arial"/>
          <w:b/>
          <w:bCs/>
          <w:color w:val="424242"/>
          <w:sz w:val="26"/>
          <w:szCs w:val="26"/>
        </w:rPr>
        <w:t xml:space="preserve">Finding 4: Casual Ridership is More Seasonal</w:t>
      </w:r>
    </w:p>
    <w:p>
      <w:pPr>
        <w:spacing w:before="80" w:after="80"/>
      </w:pPr>
      <w:r>
        <w:rPr>
          <w:rFonts w:ascii="Arial" w:cs="Arial" w:eastAsia="Arial" w:hAnsi="Arial"/>
          <w:color w:val="424242"/>
          <w:sz w:val="22"/>
          <w:szCs w:val="22"/>
        </w:rPr>
        <w:t xml:space="preserve">Monthly volume shows that casual ridership grows more steeply into warmer months. Members maintain more consistent ridership through Q1. This suggests casual riders are highly weather-sensitive and more likely to be tourists or fair-weather leisure cyclists.</w:t>
      </w:r>
    </w:p>
    <w:p>
      <w:pPr>
        <w:spacing w:before="120" w:after="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762250"/>
                    </a:xfrm>
                    <a:prstGeom prst="rect">
                      <a:avLst/>
                    </a:prstGeom>
                  </pic:spPr>
                </pic:pic>
              </a:graphicData>
            </a:graphic>
          </wp:inline>
        </w:drawing>
      </w:r>
    </w:p>
    <w:p>
      <w:pPr>
        <w:pBdr>
          <w:bottom w:val="single" w:color="1565C0" w:sz="4" w:space="4"/>
        </w:pBdr>
        <w:spacing w:before="160" w:after="160"/>
      </w:pPr>
    </w:p>
    <w:p>
      <w:pPr>
        <w:pStyle w:val="Heading1"/>
        <w:spacing w:before="400" w:after="160"/>
      </w:pPr>
      <w:r>
        <w:rPr>
          <w:rFonts w:ascii="Arial" w:cs="Arial" w:eastAsia="Arial" w:hAnsi="Arial"/>
          <w:b/>
          <w:bCs/>
          <w:color w:val="1565C0"/>
          <w:sz w:val="32"/>
          <w:szCs w:val="32"/>
        </w:rPr>
        <w:t xml:space="preserve">5. Top 3 Recommendations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565C0" w:val="clear"/>
            <w:tcMar>
              <w:top w:type="dxa" w:w="160"/>
              <w:left w:type="dxa" w:w="180"/>
              <w:bottom w:type="dxa" w:w="160"/>
              <w:right w:type="dxa" w:w="180"/>
            </w:tcMar>
            <w:vAlign w:val="center"/>
          </w:tcPr>
          <w:p>
            <w:pPr>
              <w:jc w:val="center"/>
            </w:pPr>
            <w:r>
              <w:rPr>
                <w:rFonts w:ascii="Arial" w:cs="Arial" w:eastAsia="Arial" w:hAnsi="Arial"/>
                <w:b/>
                <w:bCs/>
                <w:color w:val="FFFFFF"/>
                <w:sz w:val="32"/>
                <w:szCs w:val="32"/>
              </w:rPr>
              <w:t xml:space="preserve">1</w:t>
            </w:r>
          </w:p>
        </w:tc>
        <w:tc>
          <w:tcPr>
            <w:tcW w:type="dxa" w:w="8560"/>
            <w:tcBorders>
              <w:top w:val="single" w:color="CCCCCC" w:sz="1"/>
              <w:left w:val="single" w:color="CCCCCC" w:sz="1"/>
              <w:bottom w:val="single" w:color="CCCCCC" w:sz="1"/>
              <w:right w:val="single" w:color="CCCCCC" w:sz="1"/>
            </w:tcBorders>
            <w:tcMar>
              <w:top w:type="dxa" w:w="120"/>
              <w:left w:type="dxa" w:w="200"/>
              <w:bottom w:type="dxa" w:w="120"/>
              <w:right w:type="dxa" w:w="180"/>
            </w:tcMar>
          </w:tcPr>
          <w:p>
            <w:r>
              <w:rPr>
                <w:rFonts w:ascii="Arial" w:cs="Arial" w:eastAsia="Arial" w:hAnsi="Arial"/>
                <w:b/>
                <w:bCs/>
                <w:color w:val="424242"/>
                <w:sz w:val="24"/>
                <w:szCs w:val="24"/>
              </w:rPr>
              <w:t xml:space="preserve">Launch Weekend-to-Membership Conversion Campaigns</w:t>
            </w:r>
          </w:p>
          <w:p>
            <w:pPr>
              <w:spacing w:before="60"/>
            </w:pPr>
            <w:r>
              <w:rPr>
                <w:rFonts w:ascii="Arial" w:cs="Arial" w:eastAsia="Arial" w:hAnsi="Arial"/>
                <w:color w:val="757575"/>
                <w:sz w:val="21"/>
                <w:szCs w:val="21"/>
              </w:rPr>
              <w:t xml:space="preserve">Target casual riders at docking stations and via the app on Saturday and Sunday — their peak usage days. Offer a time-limited discount for converting to an annual membership during or after a weekend ride. Highlight the cost savings: at casual single-ride rates, frequent weekend riders often pay more annually than a member would.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65100" w:val="clear"/>
            <w:tcMar>
              <w:top w:type="dxa" w:w="160"/>
              <w:left w:type="dxa" w:w="180"/>
              <w:bottom w:type="dxa" w:w="160"/>
              <w:right w:type="dxa" w:w="180"/>
            </w:tcMar>
            <w:vAlign w:val="center"/>
          </w:tcPr>
          <w:p>
            <w:pPr>
              <w:jc w:val="center"/>
            </w:pPr>
            <w:r>
              <w:rPr>
                <w:rFonts w:ascii="Arial" w:cs="Arial" w:eastAsia="Arial" w:hAnsi="Arial"/>
                <w:b/>
                <w:bCs/>
                <w:color w:val="FFFFFF"/>
                <w:sz w:val="32"/>
                <w:szCs w:val="32"/>
              </w:rPr>
              <w:t xml:space="preserve">2</w:t>
            </w:r>
          </w:p>
        </w:tc>
        <w:tc>
          <w:tcPr>
            <w:tcW w:type="dxa" w:w="8560"/>
            <w:tcBorders>
              <w:top w:val="single" w:color="CCCCCC" w:sz="1"/>
              <w:left w:val="single" w:color="CCCCCC" w:sz="1"/>
              <w:bottom w:val="single" w:color="CCCCCC" w:sz="1"/>
              <w:right w:val="single" w:color="CCCCCC" w:sz="1"/>
            </w:tcBorders>
            <w:tcMar>
              <w:top w:type="dxa" w:w="120"/>
              <w:left w:type="dxa" w:w="200"/>
              <w:bottom w:type="dxa" w:w="120"/>
              <w:right w:type="dxa" w:w="180"/>
            </w:tcMar>
          </w:tcPr>
          <w:p>
            <w:r>
              <w:rPr>
                <w:rFonts w:ascii="Arial" w:cs="Arial" w:eastAsia="Arial" w:hAnsi="Arial"/>
                <w:b/>
                <w:bCs/>
                <w:color w:val="424242"/>
                <w:sz w:val="24"/>
                <w:szCs w:val="24"/>
              </w:rPr>
              <w:t xml:space="preserve">Introduce a Leisure or Weekend Membership Tier</w:t>
            </w:r>
          </w:p>
          <w:p>
            <w:pPr>
              <w:spacing w:before="60"/>
            </w:pPr>
            <w:r>
              <w:rPr>
                <w:rFonts w:ascii="Arial" w:cs="Arial" w:eastAsia="Arial" w:hAnsi="Arial"/>
                <w:color w:val="757575"/>
                <w:sz w:val="21"/>
                <w:szCs w:val="21"/>
              </w:rPr>
              <w:t xml:space="preserve">Casual riders' weekend and midday pattern suggests they don't need the commuter value proposition. Create a "Weekend Membership" or "Leisure Pass" priced between casual rates and full annual membership. This lower-commitment tier reduces the barrier to converting, and members in this tier can later be upsold to full annual membership.</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D32" w:val="clear"/>
            <w:tcMar>
              <w:top w:type="dxa" w:w="160"/>
              <w:left w:type="dxa" w:w="180"/>
              <w:bottom w:type="dxa" w:w="160"/>
              <w:right w:type="dxa" w:w="180"/>
            </w:tcMar>
            <w:vAlign w:val="center"/>
          </w:tcPr>
          <w:p>
            <w:pPr>
              <w:jc w:val="center"/>
            </w:pPr>
            <w:r>
              <w:rPr>
                <w:rFonts w:ascii="Arial" w:cs="Arial" w:eastAsia="Arial" w:hAnsi="Arial"/>
                <w:b/>
                <w:bCs/>
                <w:color w:val="FFFFFF"/>
                <w:sz w:val="32"/>
                <w:szCs w:val="32"/>
              </w:rPr>
              <w:t xml:space="preserve">3</w:t>
            </w:r>
          </w:p>
        </w:tc>
        <w:tc>
          <w:tcPr>
            <w:tcW w:type="dxa" w:w="8560"/>
            <w:tcBorders>
              <w:top w:val="single" w:color="CCCCCC" w:sz="1"/>
              <w:left w:val="single" w:color="CCCCCC" w:sz="1"/>
              <w:bottom w:val="single" w:color="CCCCCC" w:sz="1"/>
              <w:right w:val="single" w:color="CCCCCC" w:sz="1"/>
            </w:tcBorders>
            <w:tcMar>
              <w:top w:type="dxa" w:w="120"/>
              <w:left w:type="dxa" w:w="200"/>
              <w:bottom w:type="dxa" w:w="120"/>
              <w:right w:type="dxa" w:w="180"/>
            </w:tcMar>
          </w:tcPr>
          <w:p>
            <w:r>
              <w:rPr>
                <w:rFonts w:ascii="Arial" w:cs="Arial" w:eastAsia="Arial" w:hAnsi="Arial"/>
                <w:b/>
                <w:bCs/>
                <w:color w:val="424242"/>
                <w:sz w:val="24"/>
                <w:szCs w:val="24"/>
              </w:rPr>
              <w:t xml:space="preserve">Use Digital Media to Showcase the Value of Membership During Peak Leisure Hours</w:t>
            </w:r>
          </w:p>
          <w:p>
            <w:pPr>
              <w:spacing w:before="60"/>
            </w:pPr>
            <w:r>
              <w:rPr>
                <w:rFonts w:ascii="Arial" w:cs="Arial" w:eastAsia="Arial" w:hAnsi="Arial"/>
                <w:color w:val="757575"/>
                <w:sz w:val="21"/>
                <w:szCs w:val="21"/>
              </w:rPr>
              <w:t xml:space="preserve">Run targeted social media and in-app ads between 10 AM–4 PM on weekends — exactly when casual riders are most active. Messaging should focus on leisure benefits (explore Chicago, save on longer rides, no per-minute charges) rather than commuting efficiency. Partner with local tourism and event platforms to reach casual riders planning weekend activities.</w:t>
            </w:r>
          </w:p>
        </w:tc>
      </w:tr>
    </w:tbl>
    <w:p>
      <w:pPr>
        <w:spacing w:before="200" w:after="0"/>
      </w:pPr>
    </w:p>
    <w:p>
      <w:pPr>
        <w:pBdr>
          <w:bottom w:val="single" w:color="1565C0" w:sz="4" w:space="4"/>
        </w:pBdr>
        <w:spacing w:before="160" w:after="160"/>
      </w:pPr>
    </w:p>
    <w:p>
      <w:pPr>
        <w:pStyle w:val="Heading1"/>
        <w:spacing w:before="400" w:after="160"/>
      </w:pPr>
      <w:r>
        <w:rPr>
          <w:rFonts w:ascii="Arial" w:cs="Arial" w:eastAsia="Arial" w:hAnsi="Arial"/>
          <w:b/>
          <w:bCs/>
          <w:color w:val="1565C0"/>
          <w:sz w:val="32"/>
          <w:szCs w:val="32"/>
        </w:rPr>
        <w:t xml:space="preserve">Appendix: Limitations &amp; Next Steps</w:t>
      </w:r>
    </w:p>
    <w:p>
      <w:pPr>
        <w:pStyle w:val="ListParagraph"/>
        <w:numPr>
          <w:ilvl w:val="0"/>
          <w:numId w:val="2"/>
        </w:numPr>
        <w:spacing w:before="60" w:after="60"/>
      </w:pPr>
      <w:r>
        <w:rPr>
          <w:rFonts w:ascii="Arial" w:cs="Arial" w:eastAsia="Arial" w:hAnsi="Arial"/>
          <w:color w:val="424242"/>
          <w:sz w:val="22"/>
          <w:szCs w:val="22"/>
        </w:rPr>
        <w:t xml:space="preserve">This analysis covers Q1 only (January–March). Full-year data would strengthen seasonal findings, particularly regarding summer leisure riding peaks.</w:t>
      </w:r>
    </w:p>
    <w:p>
      <w:pPr>
        <w:pStyle w:val="ListParagraph"/>
        <w:numPr>
          <w:ilvl w:val="0"/>
          <w:numId w:val="2"/>
        </w:numPr>
        <w:spacing w:before="60" w:after="60"/>
      </w:pPr>
      <w:r>
        <w:rPr>
          <w:rFonts w:ascii="Arial" w:cs="Arial" w:eastAsia="Arial" w:hAnsi="Arial"/>
          <w:color w:val="424242"/>
          <w:sz w:val="22"/>
          <w:szCs w:val="22"/>
        </w:rPr>
        <w:t xml:space="preserve">Data privacy prevents linking rides to individual users; lifetime value comparisons and conversion funnel tracking are not possible with this dataset.</w:t>
      </w:r>
    </w:p>
    <w:p>
      <w:pPr>
        <w:pStyle w:val="ListParagraph"/>
        <w:numPr>
          <w:ilvl w:val="0"/>
          <w:numId w:val="2"/>
        </w:numPr>
        <w:spacing w:before="60" w:after="60"/>
      </w:pPr>
      <w:r>
        <w:rPr>
          <w:rFonts w:ascii="Arial" w:cs="Arial" w:eastAsia="Arial" w:hAnsi="Arial"/>
          <w:color w:val="424242"/>
          <w:sz w:val="22"/>
          <w:szCs w:val="22"/>
        </w:rPr>
        <w:t xml:space="preserve">Future analysis could incorporate weather data, station-level geography, and ride-type breakdowns (electric vs. classic) to further refine targeting.</w:t>
      </w:r>
    </w:p>
    <w:p>
      <w:pPr>
        <w:pStyle w:val="ListParagraph"/>
        <w:numPr>
          <w:ilvl w:val="0"/>
          <w:numId w:val="2"/>
        </w:numPr>
        <w:spacing w:before="60" w:after="60"/>
      </w:pPr>
      <w:r>
        <w:rPr>
          <w:rFonts w:ascii="Arial" w:cs="Arial" w:eastAsia="Arial" w:hAnsi="Arial"/>
          <w:color w:val="424242"/>
          <w:sz w:val="22"/>
          <w:szCs w:val="22"/>
        </w:rPr>
        <w:t xml:space="preserve">A/B testing the proposed weekend campaign against a control group is recommended before a full rollout.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jc w:val="right"/>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of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pPr>
    <w:r>
      <w:rPr>
        <w:rFonts w:ascii="Arial" w:cs="Arial" w:eastAsia="Arial" w:hAnsi="Arial"/>
        <w:color w:val="757575"/>
        <w:sz w:val="18"/>
        <w:szCs w:val="18"/>
      </w:rPr>
      <w:t xml:space="preserve">Cyclistic Bike-Share  |  Member vs. Casual Rider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565C0"/>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4242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7fa0afa7ca2ae293032c112734c1cdbe5748f87.png"/><Relationship Id="rId9" Type="http://schemas.openxmlformats.org/officeDocument/2006/relationships/image" Target="media/8ff31d97e20ad338ed792c9e226590dd656e7e61.png"/><Relationship Id="rId10" Type="http://schemas.openxmlformats.org/officeDocument/2006/relationships/image" Target="media/bf6b1939eec6d7e5753d473392fc26f34cfabe39.png"/><Relationship Id="rId11" Type="http://schemas.openxmlformats.org/officeDocument/2006/relationships/image" Target="media/f26f5b68578dd968ef4ef42bce2e2bbb171c676b.png"/><Relationship Id="rId12" Type="http://schemas.openxmlformats.org/officeDocument/2006/relationships/image" Target="media/be5df7c7f7e4af40d6cd47a45b0fbf7a7baf813a.png"/><Relationship Id="rId13" Type="http://schemas.openxmlformats.org/officeDocument/2006/relationships/image" Target="media/0702e094291cad1f420e93201d1f7d832e832b47.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2026-02-24T23:54:54.853Z</dcterms:created>
  <dcterms:modified xsi:type="dcterms:W3CDTF">2026-02-24T23:54:54.854Z</dcterms:modified>
</cp:coreProperties>
</file>

<file path=docProps/custom.xml><?xml version="1.0" encoding="utf-8"?>
<Properties xmlns="http://schemas.openxmlformats.org/officeDocument/2006/custom-properties" xmlns:vt="http://schemas.openxmlformats.org/officeDocument/2006/docPropsVTypes"/>
</file>