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Document</w:t>
      </w:r>
    </w:p>
    <w:p>
      <w:r>
        <w:t>This document summarizes the key findings from our recent analysis. The data shows promising trends across all major metrics.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Market share increased by 8% in Q4</w:t>
      </w:r>
    </w:p>
    <w:p>
      <w:pPr>
        <w:pStyle w:val="ListBullet"/>
      </w:pPr>
      <w:r>
        <w:t>Customer satisfaction score improved to 94%</w:t>
      </w:r>
    </w:p>
    <w:p>
      <w:pPr>
        <w:pStyle w:val="ListBullet"/>
      </w:pPr>
      <w:r>
        <w:t>Product delivery time reduced by 20%</w:t>
      </w:r>
    </w:p>
    <w:p>
      <w:pPr>
        <w:pStyle w:val="ListBullet"/>
      </w:pPr>
      <w:r>
        <w:t>New feature adoption rate exceeded targets</w:t>
      </w:r>
    </w:p>
    <w:p>
      <w:pPr>
        <w:pStyle w:val="Heading2"/>
      </w:pPr>
      <w:r>
        <w:t>Conclusion</w:t>
      </w:r>
    </w:p>
    <w:p>
      <w:r>
        <w:t>Based on these findings, we recommend continuing the current strategy while exploring additional opportunities in emerging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