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3F952" w14:textId="1492ACBD" w:rsidR="000263F1" w:rsidRPr="00CE3BE6" w:rsidRDefault="000A5009">
      <w:pPr>
        <w:rPr>
          <w:b/>
          <w:bCs/>
          <w:sz w:val="24"/>
          <w:szCs w:val="24"/>
        </w:rPr>
      </w:pPr>
      <w:r w:rsidRPr="00CE3BE6">
        <w:rPr>
          <w:b/>
          <w:bCs/>
          <w:sz w:val="24"/>
          <w:szCs w:val="24"/>
        </w:rPr>
        <w:t>Balance Sheet Analysis – Liabilities:</w:t>
      </w:r>
    </w:p>
    <w:p w14:paraId="59F98DAC" w14:textId="55BCF678" w:rsidR="000A5009" w:rsidRPr="00CE3BE6" w:rsidRDefault="000A5009">
      <w:pPr>
        <w:rPr>
          <w:b/>
          <w:bCs/>
          <w:sz w:val="24"/>
          <w:szCs w:val="24"/>
        </w:rPr>
      </w:pPr>
    </w:p>
    <w:p w14:paraId="4D484484" w14:textId="1517E025" w:rsidR="000A5009" w:rsidRDefault="000A5009">
      <w:pPr>
        <w:rPr>
          <w:sz w:val="24"/>
          <w:szCs w:val="24"/>
        </w:rPr>
      </w:pPr>
      <w:r w:rsidRPr="00CE3BE6">
        <w:rPr>
          <w:sz w:val="24"/>
          <w:szCs w:val="24"/>
        </w:rPr>
        <w:t xml:space="preserve">The liabilities section of the Balance Sheet show what the company has borrowed in the way of accounts payable and other obligations due to lenders.  The liabilities are listed in order of maturity.  The current liabilities are made up of obligations that must be settled within one year.  </w:t>
      </w:r>
      <w:r w:rsidR="00CE3BE6" w:rsidRPr="00CE3BE6">
        <w:rPr>
          <w:sz w:val="24"/>
          <w:szCs w:val="24"/>
        </w:rPr>
        <w:t>The long-term liabilities are the obligations that will be due in more than one year.</w:t>
      </w:r>
    </w:p>
    <w:p w14:paraId="7B8E938A" w14:textId="60B68C26" w:rsidR="00CE3BE6" w:rsidRDefault="00CE3BE6">
      <w:pPr>
        <w:rPr>
          <w:sz w:val="24"/>
          <w:szCs w:val="24"/>
        </w:rPr>
      </w:pPr>
      <w:r>
        <w:rPr>
          <w:sz w:val="24"/>
          <w:szCs w:val="24"/>
        </w:rPr>
        <w:t>Pepsi Co. Liabilities on the balance sheet as listed on the 10-K is as follows</w:t>
      </w:r>
      <w:r w:rsidR="00FC4F48">
        <w:rPr>
          <w:sz w:val="24"/>
          <w:szCs w:val="24"/>
        </w:rPr>
        <w:t>:</w:t>
      </w:r>
    </w:p>
    <w:p w14:paraId="759F2DD3" w14:textId="76ADF9E0" w:rsidR="00CE3BE6" w:rsidRDefault="00CE3BE6">
      <w:pPr>
        <w:rPr>
          <w:sz w:val="24"/>
          <w:szCs w:val="24"/>
        </w:rPr>
      </w:pPr>
    </w:p>
    <w:tbl>
      <w:tblPr>
        <w:tblStyle w:val="TableGrid"/>
        <w:tblW w:w="0" w:type="auto"/>
        <w:jc w:val="center"/>
        <w:tblLook w:val="04A0" w:firstRow="1" w:lastRow="0" w:firstColumn="1" w:lastColumn="0" w:noHBand="0" w:noVBand="1"/>
      </w:tblPr>
      <w:tblGrid>
        <w:gridCol w:w="4855"/>
        <w:gridCol w:w="1378"/>
        <w:gridCol w:w="1232"/>
      </w:tblGrid>
      <w:tr w:rsidR="00CE3BE6" w14:paraId="261B3E06" w14:textId="77777777" w:rsidTr="00CE3BE6">
        <w:trPr>
          <w:jc w:val="center"/>
        </w:trPr>
        <w:tc>
          <w:tcPr>
            <w:tcW w:w="4855" w:type="dxa"/>
          </w:tcPr>
          <w:p w14:paraId="59E378EC" w14:textId="02E2180F" w:rsidR="00CE3BE6" w:rsidRPr="00CE3BE6" w:rsidRDefault="00CE3BE6" w:rsidP="00CE3BE6">
            <w:pPr>
              <w:jc w:val="center"/>
              <w:rPr>
                <w:b/>
                <w:bCs/>
                <w:sz w:val="24"/>
                <w:szCs w:val="24"/>
              </w:rPr>
            </w:pPr>
            <w:r>
              <w:rPr>
                <w:b/>
                <w:bCs/>
                <w:sz w:val="24"/>
                <w:szCs w:val="24"/>
              </w:rPr>
              <w:t>Pepsi Co. Liabilities</w:t>
            </w:r>
          </w:p>
        </w:tc>
        <w:tc>
          <w:tcPr>
            <w:tcW w:w="1378" w:type="dxa"/>
          </w:tcPr>
          <w:p w14:paraId="06A2C8E9" w14:textId="37F71E9E" w:rsidR="00CE3BE6" w:rsidRPr="00CE3BE6" w:rsidRDefault="00CE3BE6" w:rsidP="00CE3BE6">
            <w:pPr>
              <w:jc w:val="center"/>
              <w:rPr>
                <w:b/>
                <w:bCs/>
                <w:sz w:val="24"/>
                <w:szCs w:val="24"/>
              </w:rPr>
            </w:pPr>
            <w:r>
              <w:rPr>
                <w:b/>
                <w:bCs/>
                <w:sz w:val="24"/>
                <w:szCs w:val="24"/>
              </w:rPr>
              <w:t>2021</w:t>
            </w:r>
          </w:p>
        </w:tc>
        <w:tc>
          <w:tcPr>
            <w:tcW w:w="1232" w:type="dxa"/>
          </w:tcPr>
          <w:p w14:paraId="5CC88EB7" w14:textId="77777777" w:rsidR="00CE3BE6" w:rsidRDefault="00CE3BE6" w:rsidP="00CE3BE6">
            <w:pPr>
              <w:jc w:val="center"/>
              <w:rPr>
                <w:b/>
                <w:bCs/>
                <w:sz w:val="24"/>
                <w:szCs w:val="24"/>
              </w:rPr>
            </w:pPr>
            <w:r>
              <w:rPr>
                <w:b/>
                <w:bCs/>
                <w:sz w:val="24"/>
                <w:szCs w:val="24"/>
              </w:rPr>
              <w:t>2020</w:t>
            </w:r>
          </w:p>
          <w:p w14:paraId="2E023796" w14:textId="06E00FBE" w:rsidR="00CE3BE6" w:rsidRPr="00CE3BE6" w:rsidRDefault="00CE3BE6">
            <w:pPr>
              <w:rPr>
                <w:b/>
                <w:bCs/>
                <w:sz w:val="24"/>
                <w:szCs w:val="24"/>
              </w:rPr>
            </w:pPr>
          </w:p>
        </w:tc>
      </w:tr>
      <w:tr w:rsidR="00CE3BE6" w14:paraId="4B8EAF98" w14:textId="77777777" w:rsidTr="00CE3BE6">
        <w:trPr>
          <w:jc w:val="center"/>
        </w:trPr>
        <w:tc>
          <w:tcPr>
            <w:tcW w:w="4855" w:type="dxa"/>
          </w:tcPr>
          <w:p w14:paraId="7E273F6C" w14:textId="17CEDD51" w:rsidR="00CE3BE6" w:rsidRDefault="00CE3BE6">
            <w:pPr>
              <w:rPr>
                <w:sz w:val="24"/>
                <w:szCs w:val="24"/>
              </w:rPr>
            </w:pPr>
            <w:r>
              <w:rPr>
                <w:sz w:val="24"/>
                <w:szCs w:val="24"/>
              </w:rPr>
              <w:t>Short Term Debt Obligations</w:t>
            </w:r>
          </w:p>
        </w:tc>
        <w:tc>
          <w:tcPr>
            <w:tcW w:w="1378" w:type="dxa"/>
          </w:tcPr>
          <w:p w14:paraId="42B90ADE" w14:textId="0D7EC18A" w:rsidR="00CE3BE6" w:rsidRDefault="00CE3BE6" w:rsidP="00CE3BE6">
            <w:pPr>
              <w:jc w:val="center"/>
              <w:rPr>
                <w:sz w:val="24"/>
                <w:szCs w:val="24"/>
              </w:rPr>
            </w:pPr>
            <w:r>
              <w:rPr>
                <w:sz w:val="24"/>
                <w:szCs w:val="24"/>
              </w:rPr>
              <w:t>4,308</w:t>
            </w:r>
          </w:p>
        </w:tc>
        <w:tc>
          <w:tcPr>
            <w:tcW w:w="1232" w:type="dxa"/>
          </w:tcPr>
          <w:p w14:paraId="4FE2D192" w14:textId="041C1E8D" w:rsidR="00CE3BE6" w:rsidRDefault="00CE3BE6" w:rsidP="00CE3BE6">
            <w:pPr>
              <w:jc w:val="center"/>
              <w:rPr>
                <w:sz w:val="24"/>
                <w:szCs w:val="24"/>
              </w:rPr>
            </w:pPr>
            <w:r>
              <w:rPr>
                <w:sz w:val="24"/>
                <w:szCs w:val="24"/>
              </w:rPr>
              <w:t>3,780</w:t>
            </w:r>
          </w:p>
        </w:tc>
      </w:tr>
      <w:tr w:rsidR="00CE3BE6" w14:paraId="64AD8B78" w14:textId="77777777" w:rsidTr="00CE3BE6">
        <w:trPr>
          <w:jc w:val="center"/>
        </w:trPr>
        <w:tc>
          <w:tcPr>
            <w:tcW w:w="4855" w:type="dxa"/>
          </w:tcPr>
          <w:p w14:paraId="3BF34717" w14:textId="60A798E5" w:rsidR="00CE3BE6" w:rsidRDefault="00CE3BE6">
            <w:pPr>
              <w:rPr>
                <w:sz w:val="24"/>
                <w:szCs w:val="24"/>
              </w:rPr>
            </w:pPr>
            <w:r>
              <w:rPr>
                <w:sz w:val="24"/>
                <w:szCs w:val="24"/>
              </w:rPr>
              <w:t>Accounts Payable and other current liabilities</w:t>
            </w:r>
          </w:p>
        </w:tc>
        <w:tc>
          <w:tcPr>
            <w:tcW w:w="1378" w:type="dxa"/>
          </w:tcPr>
          <w:p w14:paraId="7EFB1445" w14:textId="4B985FD5" w:rsidR="00CE3BE6" w:rsidRDefault="00CE3BE6" w:rsidP="00CE3BE6">
            <w:pPr>
              <w:jc w:val="center"/>
              <w:rPr>
                <w:sz w:val="24"/>
                <w:szCs w:val="24"/>
              </w:rPr>
            </w:pPr>
            <w:r>
              <w:rPr>
                <w:sz w:val="24"/>
                <w:szCs w:val="24"/>
              </w:rPr>
              <w:t>21,159</w:t>
            </w:r>
          </w:p>
        </w:tc>
        <w:tc>
          <w:tcPr>
            <w:tcW w:w="1232" w:type="dxa"/>
          </w:tcPr>
          <w:p w14:paraId="01458FE2" w14:textId="68A80733" w:rsidR="00CE3BE6" w:rsidRDefault="00CE3BE6" w:rsidP="00CE3BE6">
            <w:pPr>
              <w:jc w:val="center"/>
              <w:rPr>
                <w:sz w:val="24"/>
                <w:szCs w:val="24"/>
              </w:rPr>
            </w:pPr>
            <w:r>
              <w:rPr>
                <w:sz w:val="24"/>
                <w:szCs w:val="24"/>
              </w:rPr>
              <w:t>19,592</w:t>
            </w:r>
          </w:p>
        </w:tc>
      </w:tr>
      <w:tr w:rsidR="00CE3BE6" w14:paraId="28BD8690" w14:textId="77777777" w:rsidTr="00CE3BE6">
        <w:trPr>
          <w:jc w:val="center"/>
        </w:trPr>
        <w:tc>
          <w:tcPr>
            <w:tcW w:w="4855" w:type="dxa"/>
          </w:tcPr>
          <w:p w14:paraId="70CC678A" w14:textId="5038C7D0" w:rsidR="00CE3BE6" w:rsidRDefault="00CE3BE6">
            <w:pPr>
              <w:rPr>
                <w:sz w:val="24"/>
                <w:szCs w:val="24"/>
              </w:rPr>
            </w:pPr>
            <w:r>
              <w:rPr>
                <w:sz w:val="24"/>
                <w:szCs w:val="24"/>
              </w:rPr>
              <w:t>Disposal Group, Including Discontinued Operations , Liabilities</w:t>
            </w:r>
          </w:p>
        </w:tc>
        <w:tc>
          <w:tcPr>
            <w:tcW w:w="1378" w:type="dxa"/>
          </w:tcPr>
          <w:p w14:paraId="6CAD027B" w14:textId="39C0370C" w:rsidR="00CE3BE6" w:rsidRDefault="00CE3BE6" w:rsidP="00CE3BE6">
            <w:pPr>
              <w:jc w:val="center"/>
              <w:rPr>
                <w:sz w:val="24"/>
                <w:szCs w:val="24"/>
              </w:rPr>
            </w:pPr>
            <w:r>
              <w:rPr>
                <w:sz w:val="24"/>
                <w:szCs w:val="24"/>
              </w:rPr>
              <w:t>753</w:t>
            </w:r>
          </w:p>
        </w:tc>
        <w:tc>
          <w:tcPr>
            <w:tcW w:w="1232" w:type="dxa"/>
          </w:tcPr>
          <w:p w14:paraId="44451182" w14:textId="1E0CA95E" w:rsidR="00CE3BE6" w:rsidRDefault="00CE3BE6" w:rsidP="00CE3BE6">
            <w:pPr>
              <w:jc w:val="center"/>
              <w:rPr>
                <w:sz w:val="24"/>
                <w:szCs w:val="24"/>
              </w:rPr>
            </w:pPr>
            <w:r>
              <w:rPr>
                <w:sz w:val="24"/>
                <w:szCs w:val="24"/>
              </w:rPr>
              <w:t>0</w:t>
            </w:r>
          </w:p>
        </w:tc>
      </w:tr>
      <w:tr w:rsidR="00CE3BE6" w14:paraId="12B2CFB8" w14:textId="77777777" w:rsidTr="00CE3BE6">
        <w:trPr>
          <w:jc w:val="center"/>
        </w:trPr>
        <w:tc>
          <w:tcPr>
            <w:tcW w:w="4855" w:type="dxa"/>
          </w:tcPr>
          <w:p w14:paraId="09E01017" w14:textId="233EA5DE" w:rsidR="00CE3BE6" w:rsidRDefault="00CE3BE6">
            <w:pPr>
              <w:rPr>
                <w:sz w:val="24"/>
                <w:szCs w:val="24"/>
              </w:rPr>
            </w:pPr>
            <w:r>
              <w:rPr>
                <w:sz w:val="24"/>
                <w:szCs w:val="24"/>
              </w:rPr>
              <w:t>Liabilities, Current</w:t>
            </w:r>
          </w:p>
        </w:tc>
        <w:tc>
          <w:tcPr>
            <w:tcW w:w="1378" w:type="dxa"/>
          </w:tcPr>
          <w:p w14:paraId="73D60AA9" w14:textId="67825F3E" w:rsidR="00CE3BE6" w:rsidRDefault="00CE3BE6" w:rsidP="00CE3BE6">
            <w:pPr>
              <w:jc w:val="center"/>
              <w:rPr>
                <w:sz w:val="24"/>
                <w:szCs w:val="24"/>
              </w:rPr>
            </w:pPr>
            <w:r>
              <w:rPr>
                <w:sz w:val="24"/>
                <w:szCs w:val="24"/>
              </w:rPr>
              <w:t>26,220</w:t>
            </w:r>
          </w:p>
        </w:tc>
        <w:tc>
          <w:tcPr>
            <w:tcW w:w="1232" w:type="dxa"/>
          </w:tcPr>
          <w:p w14:paraId="7563DA18" w14:textId="5F7859BE" w:rsidR="00CE3BE6" w:rsidRDefault="00CE3BE6" w:rsidP="00CE3BE6">
            <w:pPr>
              <w:jc w:val="center"/>
              <w:rPr>
                <w:sz w:val="24"/>
                <w:szCs w:val="24"/>
              </w:rPr>
            </w:pPr>
            <w:r>
              <w:rPr>
                <w:sz w:val="24"/>
                <w:szCs w:val="24"/>
              </w:rPr>
              <w:t>23,372</w:t>
            </w:r>
          </w:p>
        </w:tc>
      </w:tr>
      <w:tr w:rsidR="00CE3BE6" w14:paraId="07C50CE5" w14:textId="77777777" w:rsidTr="00CE3BE6">
        <w:trPr>
          <w:jc w:val="center"/>
        </w:trPr>
        <w:tc>
          <w:tcPr>
            <w:tcW w:w="4855" w:type="dxa"/>
          </w:tcPr>
          <w:p w14:paraId="22EFC002" w14:textId="3AEB7393" w:rsidR="00CE3BE6" w:rsidRDefault="00CE3BE6">
            <w:pPr>
              <w:rPr>
                <w:sz w:val="24"/>
                <w:szCs w:val="24"/>
              </w:rPr>
            </w:pPr>
            <w:r>
              <w:rPr>
                <w:sz w:val="24"/>
                <w:szCs w:val="24"/>
              </w:rPr>
              <w:t>Long-Term Debt Obligations</w:t>
            </w:r>
          </w:p>
        </w:tc>
        <w:tc>
          <w:tcPr>
            <w:tcW w:w="1378" w:type="dxa"/>
          </w:tcPr>
          <w:p w14:paraId="62A5C37F" w14:textId="3F7AD36B" w:rsidR="00CE3BE6" w:rsidRDefault="00CE3BE6" w:rsidP="00CE3BE6">
            <w:pPr>
              <w:jc w:val="center"/>
              <w:rPr>
                <w:sz w:val="24"/>
                <w:szCs w:val="24"/>
              </w:rPr>
            </w:pPr>
            <w:r>
              <w:rPr>
                <w:sz w:val="24"/>
                <w:szCs w:val="24"/>
              </w:rPr>
              <w:t>36,026</w:t>
            </w:r>
          </w:p>
        </w:tc>
        <w:tc>
          <w:tcPr>
            <w:tcW w:w="1232" w:type="dxa"/>
          </w:tcPr>
          <w:p w14:paraId="0C49D6E0" w14:textId="51C22B3F" w:rsidR="00CE3BE6" w:rsidRDefault="00CE3BE6" w:rsidP="00CE3BE6">
            <w:pPr>
              <w:jc w:val="center"/>
              <w:rPr>
                <w:sz w:val="24"/>
                <w:szCs w:val="24"/>
              </w:rPr>
            </w:pPr>
            <w:r>
              <w:rPr>
                <w:sz w:val="24"/>
                <w:szCs w:val="24"/>
              </w:rPr>
              <w:t>40,370</w:t>
            </w:r>
          </w:p>
        </w:tc>
      </w:tr>
      <w:tr w:rsidR="00CE3BE6" w14:paraId="0C12E674" w14:textId="77777777" w:rsidTr="00CE3BE6">
        <w:trPr>
          <w:jc w:val="center"/>
        </w:trPr>
        <w:tc>
          <w:tcPr>
            <w:tcW w:w="4855" w:type="dxa"/>
          </w:tcPr>
          <w:p w14:paraId="45B85454" w14:textId="425AE410" w:rsidR="00CE3BE6" w:rsidRDefault="00CE3BE6">
            <w:pPr>
              <w:rPr>
                <w:sz w:val="24"/>
                <w:szCs w:val="24"/>
              </w:rPr>
            </w:pPr>
            <w:r>
              <w:rPr>
                <w:sz w:val="24"/>
                <w:szCs w:val="24"/>
              </w:rPr>
              <w:t>Deferred Income Tax Liabilities, Net</w:t>
            </w:r>
          </w:p>
        </w:tc>
        <w:tc>
          <w:tcPr>
            <w:tcW w:w="1378" w:type="dxa"/>
          </w:tcPr>
          <w:p w14:paraId="4B87F4F4" w14:textId="3311C021" w:rsidR="00CE3BE6" w:rsidRDefault="00CE3BE6" w:rsidP="00CE3BE6">
            <w:pPr>
              <w:jc w:val="center"/>
              <w:rPr>
                <w:sz w:val="24"/>
                <w:szCs w:val="24"/>
              </w:rPr>
            </w:pPr>
            <w:r>
              <w:rPr>
                <w:sz w:val="24"/>
                <w:szCs w:val="24"/>
              </w:rPr>
              <w:t>4,826</w:t>
            </w:r>
          </w:p>
        </w:tc>
        <w:tc>
          <w:tcPr>
            <w:tcW w:w="1232" w:type="dxa"/>
          </w:tcPr>
          <w:p w14:paraId="39CD17B2" w14:textId="1213A31B" w:rsidR="00CE3BE6" w:rsidRDefault="00CE3BE6" w:rsidP="00CE3BE6">
            <w:pPr>
              <w:jc w:val="center"/>
              <w:rPr>
                <w:sz w:val="24"/>
                <w:szCs w:val="24"/>
              </w:rPr>
            </w:pPr>
            <w:r>
              <w:rPr>
                <w:sz w:val="24"/>
                <w:szCs w:val="24"/>
              </w:rPr>
              <w:t>4,284</w:t>
            </w:r>
          </w:p>
        </w:tc>
      </w:tr>
      <w:tr w:rsidR="00CE3BE6" w14:paraId="7F1EB193" w14:textId="77777777" w:rsidTr="00CE3BE6">
        <w:trPr>
          <w:jc w:val="center"/>
        </w:trPr>
        <w:tc>
          <w:tcPr>
            <w:tcW w:w="4855" w:type="dxa"/>
          </w:tcPr>
          <w:p w14:paraId="1546D30C" w14:textId="04107706" w:rsidR="00CE3BE6" w:rsidRDefault="00CE3BE6">
            <w:pPr>
              <w:rPr>
                <w:sz w:val="24"/>
                <w:szCs w:val="24"/>
              </w:rPr>
            </w:pPr>
            <w:r>
              <w:rPr>
                <w:sz w:val="24"/>
                <w:szCs w:val="24"/>
              </w:rPr>
              <w:t>Other Liabilities, Noncurrent</w:t>
            </w:r>
          </w:p>
        </w:tc>
        <w:tc>
          <w:tcPr>
            <w:tcW w:w="1378" w:type="dxa"/>
          </w:tcPr>
          <w:p w14:paraId="591B3572" w14:textId="4E147F20" w:rsidR="00CE3BE6" w:rsidRDefault="00CE3BE6" w:rsidP="00CE3BE6">
            <w:pPr>
              <w:jc w:val="center"/>
              <w:rPr>
                <w:sz w:val="24"/>
                <w:szCs w:val="24"/>
              </w:rPr>
            </w:pPr>
            <w:r>
              <w:rPr>
                <w:sz w:val="24"/>
                <w:szCs w:val="24"/>
              </w:rPr>
              <w:t>9,154</w:t>
            </w:r>
          </w:p>
        </w:tc>
        <w:tc>
          <w:tcPr>
            <w:tcW w:w="1232" w:type="dxa"/>
          </w:tcPr>
          <w:p w14:paraId="03DE3833" w14:textId="74A36B72" w:rsidR="00CE3BE6" w:rsidRDefault="00CE3BE6" w:rsidP="00CE3BE6">
            <w:pPr>
              <w:jc w:val="center"/>
              <w:rPr>
                <w:sz w:val="24"/>
                <w:szCs w:val="24"/>
              </w:rPr>
            </w:pPr>
            <w:r>
              <w:rPr>
                <w:sz w:val="24"/>
                <w:szCs w:val="24"/>
              </w:rPr>
              <w:t>11,340</w:t>
            </w:r>
          </w:p>
        </w:tc>
      </w:tr>
      <w:tr w:rsidR="00CE3BE6" w14:paraId="7B8AD7E7" w14:textId="77777777" w:rsidTr="00CE3BE6">
        <w:trPr>
          <w:jc w:val="center"/>
        </w:trPr>
        <w:tc>
          <w:tcPr>
            <w:tcW w:w="4855" w:type="dxa"/>
          </w:tcPr>
          <w:p w14:paraId="5017F4CC" w14:textId="72016107" w:rsidR="00CE3BE6" w:rsidRPr="00FC4F48" w:rsidRDefault="00CE3BE6">
            <w:pPr>
              <w:rPr>
                <w:b/>
                <w:bCs/>
                <w:sz w:val="24"/>
                <w:szCs w:val="24"/>
              </w:rPr>
            </w:pPr>
            <w:r w:rsidRPr="00FC4F48">
              <w:rPr>
                <w:b/>
                <w:bCs/>
                <w:sz w:val="24"/>
                <w:szCs w:val="24"/>
              </w:rPr>
              <w:t>Liabilities</w:t>
            </w:r>
          </w:p>
        </w:tc>
        <w:tc>
          <w:tcPr>
            <w:tcW w:w="1378" w:type="dxa"/>
          </w:tcPr>
          <w:p w14:paraId="42171545" w14:textId="6E7B311D" w:rsidR="00CE3BE6" w:rsidRPr="00FC4F48" w:rsidRDefault="00CE3BE6" w:rsidP="00CE3BE6">
            <w:pPr>
              <w:jc w:val="center"/>
              <w:rPr>
                <w:b/>
                <w:bCs/>
                <w:sz w:val="24"/>
                <w:szCs w:val="24"/>
              </w:rPr>
            </w:pPr>
            <w:r w:rsidRPr="00FC4F48">
              <w:rPr>
                <w:b/>
                <w:bCs/>
                <w:sz w:val="24"/>
                <w:szCs w:val="24"/>
              </w:rPr>
              <w:t>76,226</w:t>
            </w:r>
          </w:p>
        </w:tc>
        <w:tc>
          <w:tcPr>
            <w:tcW w:w="1232" w:type="dxa"/>
          </w:tcPr>
          <w:p w14:paraId="0A97C5C5" w14:textId="78CB9B06" w:rsidR="00CE3BE6" w:rsidRPr="00FC4F48" w:rsidRDefault="00CE3BE6" w:rsidP="00CE3BE6">
            <w:pPr>
              <w:jc w:val="center"/>
              <w:rPr>
                <w:b/>
                <w:bCs/>
                <w:sz w:val="24"/>
                <w:szCs w:val="24"/>
              </w:rPr>
            </w:pPr>
            <w:r w:rsidRPr="00FC4F48">
              <w:rPr>
                <w:b/>
                <w:bCs/>
                <w:sz w:val="24"/>
                <w:szCs w:val="24"/>
              </w:rPr>
              <w:t>79,366</w:t>
            </w:r>
          </w:p>
        </w:tc>
      </w:tr>
      <w:tr w:rsidR="00FC4F48" w14:paraId="42F8151C" w14:textId="77777777" w:rsidTr="00CE3BE6">
        <w:trPr>
          <w:jc w:val="center"/>
        </w:trPr>
        <w:tc>
          <w:tcPr>
            <w:tcW w:w="4855" w:type="dxa"/>
          </w:tcPr>
          <w:p w14:paraId="1C15BF11" w14:textId="1A7A993F" w:rsidR="00FC4F48" w:rsidRPr="00FC4F48" w:rsidRDefault="00FC4F48">
            <w:pPr>
              <w:rPr>
                <w:b/>
                <w:bCs/>
                <w:sz w:val="24"/>
                <w:szCs w:val="24"/>
              </w:rPr>
            </w:pPr>
            <w:r>
              <w:rPr>
                <w:b/>
                <w:bCs/>
                <w:sz w:val="24"/>
                <w:szCs w:val="24"/>
              </w:rPr>
              <w:t>Equity</w:t>
            </w:r>
          </w:p>
        </w:tc>
        <w:tc>
          <w:tcPr>
            <w:tcW w:w="1378" w:type="dxa"/>
          </w:tcPr>
          <w:p w14:paraId="094FAC2C" w14:textId="1DF64C69" w:rsidR="00FC4F48" w:rsidRPr="00FC4F48" w:rsidRDefault="00FC4F48" w:rsidP="00CE3BE6">
            <w:pPr>
              <w:jc w:val="center"/>
              <w:rPr>
                <w:b/>
                <w:bCs/>
                <w:sz w:val="24"/>
                <w:szCs w:val="24"/>
              </w:rPr>
            </w:pPr>
            <w:r>
              <w:rPr>
                <w:b/>
                <w:bCs/>
                <w:sz w:val="24"/>
                <w:szCs w:val="24"/>
              </w:rPr>
              <w:t>16,151</w:t>
            </w:r>
          </w:p>
        </w:tc>
        <w:tc>
          <w:tcPr>
            <w:tcW w:w="1232" w:type="dxa"/>
          </w:tcPr>
          <w:p w14:paraId="508CC1EA" w14:textId="3B2002EF" w:rsidR="00FC4F48" w:rsidRPr="00FC4F48" w:rsidRDefault="00FC4F48" w:rsidP="00CE3BE6">
            <w:pPr>
              <w:jc w:val="center"/>
              <w:rPr>
                <w:b/>
                <w:bCs/>
                <w:sz w:val="24"/>
                <w:szCs w:val="24"/>
              </w:rPr>
            </w:pPr>
            <w:r>
              <w:rPr>
                <w:b/>
                <w:bCs/>
                <w:sz w:val="24"/>
                <w:szCs w:val="24"/>
              </w:rPr>
              <w:t>13,552</w:t>
            </w:r>
          </w:p>
        </w:tc>
      </w:tr>
      <w:tr w:rsidR="00FC4F48" w14:paraId="3EDD1C91" w14:textId="77777777" w:rsidTr="00CE3BE6">
        <w:trPr>
          <w:jc w:val="center"/>
        </w:trPr>
        <w:tc>
          <w:tcPr>
            <w:tcW w:w="4855" w:type="dxa"/>
          </w:tcPr>
          <w:p w14:paraId="3A35888B" w14:textId="77FEA5E7" w:rsidR="00FC4F48" w:rsidRDefault="00FC4F48">
            <w:pPr>
              <w:rPr>
                <w:b/>
                <w:bCs/>
                <w:sz w:val="24"/>
                <w:szCs w:val="24"/>
              </w:rPr>
            </w:pPr>
            <w:r>
              <w:rPr>
                <w:b/>
                <w:bCs/>
                <w:sz w:val="24"/>
                <w:szCs w:val="24"/>
              </w:rPr>
              <w:t>Total Liabilities and Equity</w:t>
            </w:r>
          </w:p>
        </w:tc>
        <w:tc>
          <w:tcPr>
            <w:tcW w:w="1378" w:type="dxa"/>
          </w:tcPr>
          <w:p w14:paraId="32C40F5E" w14:textId="648B693A" w:rsidR="00FC4F48" w:rsidRDefault="00FC4F48" w:rsidP="00CE3BE6">
            <w:pPr>
              <w:jc w:val="center"/>
              <w:rPr>
                <w:b/>
                <w:bCs/>
                <w:sz w:val="24"/>
                <w:szCs w:val="24"/>
              </w:rPr>
            </w:pPr>
            <w:r>
              <w:rPr>
                <w:b/>
                <w:bCs/>
                <w:sz w:val="24"/>
                <w:szCs w:val="24"/>
              </w:rPr>
              <w:t>92,377</w:t>
            </w:r>
          </w:p>
        </w:tc>
        <w:tc>
          <w:tcPr>
            <w:tcW w:w="1232" w:type="dxa"/>
          </w:tcPr>
          <w:p w14:paraId="268E5EF1" w14:textId="2EEFA9FD" w:rsidR="00FC4F48" w:rsidRDefault="00FC4F48" w:rsidP="00CE3BE6">
            <w:pPr>
              <w:jc w:val="center"/>
              <w:rPr>
                <w:b/>
                <w:bCs/>
                <w:sz w:val="24"/>
                <w:szCs w:val="24"/>
              </w:rPr>
            </w:pPr>
            <w:r>
              <w:rPr>
                <w:b/>
                <w:bCs/>
                <w:sz w:val="24"/>
                <w:szCs w:val="24"/>
              </w:rPr>
              <w:t>92,918</w:t>
            </w:r>
          </w:p>
        </w:tc>
      </w:tr>
    </w:tbl>
    <w:p w14:paraId="0B57FAE4" w14:textId="3B591D23" w:rsidR="00CE3BE6" w:rsidRDefault="00CE3BE6">
      <w:pPr>
        <w:rPr>
          <w:sz w:val="24"/>
          <w:szCs w:val="24"/>
        </w:rPr>
      </w:pPr>
    </w:p>
    <w:p w14:paraId="64BF9377" w14:textId="4200E886" w:rsidR="00FC4F48" w:rsidRDefault="00FC4F48">
      <w:pPr>
        <w:rPr>
          <w:sz w:val="24"/>
          <w:szCs w:val="24"/>
        </w:rPr>
      </w:pPr>
      <w:r>
        <w:rPr>
          <w:sz w:val="24"/>
          <w:szCs w:val="24"/>
        </w:rPr>
        <w:t>Coca-Cola Liabilities on the balance sheet as listed on the 10-K is as follows:</w:t>
      </w:r>
    </w:p>
    <w:tbl>
      <w:tblPr>
        <w:tblStyle w:val="TableGrid"/>
        <w:tblW w:w="0" w:type="auto"/>
        <w:jc w:val="center"/>
        <w:tblLook w:val="04A0" w:firstRow="1" w:lastRow="0" w:firstColumn="1" w:lastColumn="0" w:noHBand="0" w:noVBand="1"/>
      </w:tblPr>
      <w:tblGrid>
        <w:gridCol w:w="4855"/>
        <w:gridCol w:w="1378"/>
        <w:gridCol w:w="1232"/>
      </w:tblGrid>
      <w:tr w:rsidR="00FC4F48" w14:paraId="5910CB67" w14:textId="77777777" w:rsidTr="00081EE1">
        <w:trPr>
          <w:jc w:val="center"/>
        </w:trPr>
        <w:tc>
          <w:tcPr>
            <w:tcW w:w="4855" w:type="dxa"/>
          </w:tcPr>
          <w:p w14:paraId="6D2D57B9" w14:textId="35A60E86" w:rsidR="00FC4F48" w:rsidRPr="00CE3BE6" w:rsidRDefault="00FC4F48" w:rsidP="00081EE1">
            <w:pPr>
              <w:jc w:val="center"/>
              <w:rPr>
                <w:b/>
                <w:bCs/>
                <w:sz w:val="24"/>
                <w:szCs w:val="24"/>
              </w:rPr>
            </w:pPr>
            <w:r>
              <w:rPr>
                <w:b/>
                <w:bCs/>
                <w:sz w:val="24"/>
                <w:szCs w:val="24"/>
              </w:rPr>
              <w:t>Coca</w:t>
            </w:r>
            <w:r>
              <w:rPr>
                <w:b/>
                <w:bCs/>
                <w:sz w:val="24"/>
                <w:szCs w:val="24"/>
              </w:rPr>
              <w:t xml:space="preserve"> Co</w:t>
            </w:r>
            <w:r>
              <w:rPr>
                <w:b/>
                <w:bCs/>
                <w:sz w:val="24"/>
                <w:szCs w:val="24"/>
              </w:rPr>
              <w:t>la</w:t>
            </w:r>
            <w:r>
              <w:rPr>
                <w:b/>
                <w:bCs/>
                <w:sz w:val="24"/>
                <w:szCs w:val="24"/>
              </w:rPr>
              <w:t xml:space="preserve"> Liabilities</w:t>
            </w:r>
          </w:p>
        </w:tc>
        <w:tc>
          <w:tcPr>
            <w:tcW w:w="1378" w:type="dxa"/>
          </w:tcPr>
          <w:p w14:paraId="7F8B3C0E" w14:textId="77777777" w:rsidR="00FC4F48" w:rsidRPr="00CE3BE6" w:rsidRDefault="00FC4F48" w:rsidP="00081EE1">
            <w:pPr>
              <w:jc w:val="center"/>
              <w:rPr>
                <w:b/>
                <w:bCs/>
                <w:sz w:val="24"/>
                <w:szCs w:val="24"/>
              </w:rPr>
            </w:pPr>
            <w:r>
              <w:rPr>
                <w:b/>
                <w:bCs/>
                <w:sz w:val="24"/>
                <w:szCs w:val="24"/>
              </w:rPr>
              <w:t>2021</w:t>
            </w:r>
          </w:p>
        </w:tc>
        <w:tc>
          <w:tcPr>
            <w:tcW w:w="1232" w:type="dxa"/>
          </w:tcPr>
          <w:p w14:paraId="1B8BDC00" w14:textId="77777777" w:rsidR="00FC4F48" w:rsidRDefault="00FC4F48" w:rsidP="00081EE1">
            <w:pPr>
              <w:jc w:val="center"/>
              <w:rPr>
                <w:b/>
                <w:bCs/>
                <w:sz w:val="24"/>
                <w:szCs w:val="24"/>
              </w:rPr>
            </w:pPr>
            <w:r>
              <w:rPr>
                <w:b/>
                <w:bCs/>
                <w:sz w:val="24"/>
                <w:szCs w:val="24"/>
              </w:rPr>
              <w:t>2020</w:t>
            </w:r>
          </w:p>
          <w:p w14:paraId="5F83A9AA" w14:textId="77777777" w:rsidR="00FC4F48" w:rsidRPr="00CE3BE6" w:rsidRDefault="00FC4F48" w:rsidP="00081EE1">
            <w:pPr>
              <w:rPr>
                <w:b/>
                <w:bCs/>
                <w:sz w:val="24"/>
                <w:szCs w:val="24"/>
              </w:rPr>
            </w:pPr>
          </w:p>
        </w:tc>
      </w:tr>
      <w:tr w:rsidR="00FC4F48" w14:paraId="4893BC4D" w14:textId="77777777" w:rsidTr="00081EE1">
        <w:trPr>
          <w:jc w:val="center"/>
        </w:trPr>
        <w:tc>
          <w:tcPr>
            <w:tcW w:w="4855" w:type="dxa"/>
          </w:tcPr>
          <w:p w14:paraId="745816CA" w14:textId="3AFECD12" w:rsidR="00FC4F48" w:rsidRDefault="00FC4F48" w:rsidP="00081EE1">
            <w:pPr>
              <w:rPr>
                <w:sz w:val="24"/>
                <w:szCs w:val="24"/>
              </w:rPr>
            </w:pPr>
            <w:r>
              <w:rPr>
                <w:sz w:val="24"/>
                <w:szCs w:val="24"/>
              </w:rPr>
              <w:t>Accounts Payable and Accrued Expenses</w:t>
            </w:r>
          </w:p>
        </w:tc>
        <w:tc>
          <w:tcPr>
            <w:tcW w:w="1378" w:type="dxa"/>
          </w:tcPr>
          <w:p w14:paraId="726F448E" w14:textId="3C492D7F" w:rsidR="00FC4F48" w:rsidRDefault="00FC4F48" w:rsidP="00081EE1">
            <w:pPr>
              <w:jc w:val="center"/>
              <w:rPr>
                <w:sz w:val="24"/>
                <w:szCs w:val="24"/>
              </w:rPr>
            </w:pPr>
            <w:r>
              <w:rPr>
                <w:sz w:val="24"/>
                <w:szCs w:val="24"/>
              </w:rPr>
              <w:t>14,619</w:t>
            </w:r>
          </w:p>
        </w:tc>
        <w:tc>
          <w:tcPr>
            <w:tcW w:w="1232" w:type="dxa"/>
          </w:tcPr>
          <w:p w14:paraId="31A6017C" w14:textId="4FE029BE" w:rsidR="00FC4F48" w:rsidRDefault="00FC4F48" w:rsidP="00081EE1">
            <w:pPr>
              <w:jc w:val="center"/>
              <w:rPr>
                <w:sz w:val="24"/>
                <w:szCs w:val="24"/>
              </w:rPr>
            </w:pPr>
            <w:r>
              <w:rPr>
                <w:sz w:val="24"/>
                <w:szCs w:val="24"/>
              </w:rPr>
              <w:t>11,145</w:t>
            </w:r>
          </w:p>
        </w:tc>
      </w:tr>
      <w:tr w:rsidR="00FC4F48" w14:paraId="2B371B46" w14:textId="77777777" w:rsidTr="00081EE1">
        <w:trPr>
          <w:jc w:val="center"/>
        </w:trPr>
        <w:tc>
          <w:tcPr>
            <w:tcW w:w="4855" w:type="dxa"/>
          </w:tcPr>
          <w:p w14:paraId="66ABB009" w14:textId="22142E2C" w:rsidR="00FC4F48" w:rsidRDefault="00FC4F48" w:rsidP="00081EE1">
            <w:pPr>
              <w:rPr>
                <w:sz w:val="24"/>
                <w:szCs w:val="24"/>
              </w:rPr>
            </w:pPr>
            <w:r>
              <w:rPr>
                <w:sz w:val="24"/>
                <w:szCs w:val="24"/>
              </w:rPr>
              <w:t>Loans and Notes Payable</w:t>
            </w:r>
          </w:p>
        </w:tc>
        <w:tc>
          <w:tcPr>
            <w:tcW w:w="1378" w:type="dxa"/>
          </w:tcPr>
          <w:p w14:paraId="638D2FD8" w14:textId="4CF7D519" w:rsidR="00FC4F48" w:rsidRDefault="00FC4F48" w:rsidP="00081EE1">
            <w:pPr>
              <w:jc w:val="center"/>
              <w:rPr>
                <w:sz w:val="24"/>
                <w:szCs w:val="24"/>
              </w:rPr>
            </w:pPr>
            <w:r>
              <w:rPr>
                <w:sz w:val="24"/>
                <w:szCs w:val="24"/>
              </w:rPr>
              <w:t>3,308</w:t>
            </w:r>
          </w:p>
        </w:tc>
        <w:tc>
          <w:tcPr>
            <w:tcW w:w="1232" w:type="dxa"/>
          </w:tcPr>
          <w:p w14:paraId="3A7164DC" w14:textId="05FAEAB7" w:rsidR="00FC4F48" w:rsidRDefault="00FC4F48" w:rsidP="00081EE1">
            <w:pPr>
              <w:jc w:val="center"/>
              <w:rPr>
                <w:sz w:val="24"/>
                <w:szCs w:val="24"/>
              </w:rPr>
            </w:pPr>
            <w:r>
              <w:rPr>
                <w:sz w:val="24"/>
                <w:szCs w:val="24"/>
              </w:rPr>
              <w:t>2,183</w:t>
            </w:r>
          </w:p>
        </w:tc>
      </w:tr>
      <w:tr w:rsidR="00FC4F48" w14:paraId="5A78B01B" w14:textId="77777777" w:rsidTr="00081EE1">
        <w:trPr>
          <w:jc w:val="center"/>
        </w:trPr>
        <w:tc>
          <w:tcPr>
            <w:tcW w:w="4855" w:type="dxa"/>
          </w:tcPr>
          <w:p w14:paraId="7C1E0D9D" w14:textId="15C91A39" w:rsidR="00FC4F48" w:rsidRDefault="00FC4F48" w:rsidP="00081EE1">
            <w:pPr>
              <w:rPr>
                <w:sz w:val="24"/>
                <w:szCs w:val="24"/>
              </w:rPr>
            </w:pPr>
            <w:r>
              <w:rPr>
                <w:sz w:val="24"/>
                <w:szCs w:val="24"/>
              </w:rPr>
              <w:t>Current maturities of Long-Term Debt</w:t>
            </w:r>
          </w:p>
        </w:tc>
        <w:tc>
          <w:tcPr>
            <w:tcW w:w="1378" w:type="dxa"/>
          </w:tcPr>
          <w:p w14:paraId="27FD414A" w14:textId="3181CB55" w:rsidR="00FC4F48" w:rsidRDefault="00FC4F48" w:rsidP="00081EE1">
            <w:pPr>
              <w:jc w:val="center"/>
              <w:rPr>
                <w:sz w:val="24"/>
                <w:szCs w:val="24"/>
              </w:rPr>
            </w:pPr>
            <w:r>
              <w:rPr>
                <w:sz w:val="24"/>
                <w:szCs w:val="24"/>
              </w:rPr>
              <w:t>1,338</w:t>
            </w:r>
          </w:p>
        </w:tc>
        <w:tc>
          <w:tcPr>
            <w:tcW w:w="1232" w:type="dxa"/>
          </w:tcPr>
          <w:p w14:paraId="39BE7419" w14:textId="496171DF" w:rsidR="00FC4F48" w:rsidRDefault="00FC4F48" w:rsidP="00081EE1">
            <w:pPr>
              <w:jc w:val="center"/>
              <w:rPr>
                <w:sz w:val="24"/>
                <w:szCs w:val="24"/>
              </w:rPr>
            </w:pPr>
            <w:r>
              <w:rPr>
                <w:sz w:val="24"/>
                <w:szCs w:val="24"/>
              </w:rPr>
              <w:t>485</w:t>
            </w:r>
          </w:p>
        </w:tc>
      </w:tr>
      <w:tr w:rsidR="00FC4F48" w14:paraId="56F9A345" w14:textId="77777777" w:rsidTr="00081EE1">
        <w:trPr>
          <w:jc w:val="center"/>
        </w:trPr>
        <w:tc>
          <w:tcPr>
            <w:tcW w:w="4855" w:type="dxa"/>
          </w:tcPr>
          <w:p w14:paraId="6308F185" w14:textId="481D47DE" w:rsidR="00FC4F48" w:rsidRDefault="00FC4F48" w:rsidP="00081EE1">
            <w:pPr>
              <w:rPr>
                <w:sz w:val="24"/>
                <w:szCs w:val="24"/>
              </w:rPr>
            </w:pPr>
            <w:r>
              <w:rPr>
                <w:sz w:val="24"/>
                <w:szCs w:val="24"/>
              </w:rPr>
              <w:t>Accrued Income Taxes</w:t>
            </w:r>
          </w:p>
        </w:tc>
        <w:tc>
          <w:tcPr>
            <w:tcW w:w="1378" w:type="dxa"/>
          </w:tcPr>
          <w:p w14:paraId="692662DD" w14:textId="2DC65F94" w:rsidR="00FC4F48" w:rsidRDefault="00FC4F48" w:rsidP="00081EE1">
            <w:pPr>
              <w:jc w:val="center"/>
              <w:rPr>
                <w:sz w:val="24"/>
                <w:szCs w:val="24"/>
              </w:rPr>
            </w:pPr>
            <w:r>
              <w:rPr>
                <w:sz w:val="24"/>
                <w:szCs w:val="24"/>
              </w:rPr>
              <w:t>686</w:t>
            </w:r>
          </w:p>
        </w:tc>
        <w:tc>
          <w:tcPr>
            <w:tcW w:w="1232" w:type="dxa"/>
          </w:tcPr>
          <w:p w14:paraId="00ABB98A" w14:textId="2B120F1E" w:rsidR="00FC4F48" w:rsidRDefault="00FC4F48" w:rsidP="00081EE1">
            <w:pPr>
              <w:jc w:val="center"/>
              <w:rPr>
                <w:sz w:val="24"/>
                <w:szCs w:val="24"/>
              </w:rPr>
            </w:pPr>
            <w:r>
              <w:rPr>
                <w:sz w:val="24"/>
                <w:szCs w:val="24"/>
              </w:rPr>
              <w:t>788</w:t>
            </w:r>
          </w:p>
        </w:tc>
      </w:tr>
      <w:tr w:rsidR="00FC4F48" w14:paraId="17747EB1" w14:textId="77777777" w:rsidTr="00081EE1">
        <w:trPr>
          <w:jc w:val="center"/>
        </w:trPr>
        <w:tc>
          <w:tcPr>
            <w:tcW w:w="4855" w:type="dxa"/>
          </w:tcPr>
          <w:p w14:paraId="41F97A7D" w14:textId="68BA3CD3" w:rsidR="00FC4F48" w:rsidRDefault="00FC4F48" w:rsidP="00081EE1">
            <w:pPr>
              <w:rPr>
                <w:sz w:val="24"/>
                <w:szCs w:val="24"/>
              </w:rPr>
            </w:pPr>
            <w:r>
              <w:rPr>
                <w:sz w:val="24"/>
                <w:szCs w:val="24"/>
              </w:rPr>
              <w:t>Total Current Liabilities</w:t>
            </w:r>
          </w:p>
        </w:tc>
        <w:tc>
          <w:tcPr>
            <w:tcW w:w="1378" w:type="dxa"/>
          </w:tcPr>
          <w:p w14:paraId="1ADCEC59" w14:textId="05656675" w:rsidR="00FC4F48" w:rsidRDefault="00FC4F48" w:rsidP="00081EE1">
            <w:pPr>
              <w:jc w:val="center"/>
              <w:rPr>
                <w:sz w:val="24"/>
                <w:szCs w:val="24"/>
              </w:rPr>
            </w:pPr>
            <w:r>
              <w:rPr>
                <w:sz w:val="24"/>
                <w:szCs w:val="24"/>
              </w:rPr>
              <w:t>19,950</w:t>
            </w:r>
          </w:p>
        </w:tc>
        <w:tc>
          <w:tcPr>
            <w:tcW w:w="1232" w:type="dxa"/>
          </w:tcPr>
          <w:p w14:paraId="2863CB21" w14:textId="2DDF26A3" w:rsidR="00FC4F48" w:rsidRDefault="00FC4F48" w:rsidP="00081EE1">
            <w:pPr>
              <w:jc w:val="center"/>
              <w:rPr>
                <w:sz w:val="24"/>
                <w:szCs w:val="24"/>
              </w:rPr>
            </w:pPr>
            <w:r>
              <w:rPr>
                <w:sz w:val="24"/>
                <w:szCs w:val="24"/>
              </w:rPr>
              <w:t>14,601</w:t>
            </w:r>
          </w:p>
        </w:tc>
      </w:tr>
      <w:tr w:rsidR="00FC4F48" w14:paraId="1D0F87DF" w14:textId="77777777" w:rsidTr="00081EE1">
        <w:trPr>
          <w:jc w:val="center"/>
        </w:trPr>
        <w:tc>
          <w:tcPr>
            <w:tcW w:w="4855" w:type="dxa"/>
          </w:tcPr>
          <w:p w14:paraId="6B2D0DA3" w14:textId="7F68A44A" w:rsidR="00FC4F48" w:rsidRDefault="00FC4F48" w:rsidP="00081EE1">
            <w:pPr>
              <w:rPr>
                <w:sz w:val="24"/>
                <w:szCs w:val="24"/>
              </w:rPr>
            </w:pPr>
            <w:r>
              <w:rPr>
                <w:sz w:val="24"/>
                <w:szCs w:val="24"/>
              </w:rPr>
              <w:t>Long-Term Debt</w:t>
            </w:r>
          </w:p>
        </w:tc>
        <w:tc>
          <w:tcPr>
            <w:tcW w:w="1378" w:type="dxa"/>
          </w:tcPr>
          <w:p w14:paraId="3A710F0A" w14:textId="6E4BABED" w:rsidR="00FC4F48" w:rsidRDefault="00FC4F48" w:rsidP="00081EE1">
            <w:pPr>
              <w:jc w:val="center"/>
              <w:rPr>
                <w:sz w:val="24"/>
                <w:szCs w:val="24"/>
              </w:rPr>
            </w:pPr>
            <w:r>
              <w:rPr>
                <w:sz w:val="24"/>
                <w:szCs w:val="24"/>
              </w:rPr>
              <w:t>38,116</w:t>
            </w:r>
          </w:p>
        </w:tc>
        <w:tc>
          <w:tcPr>
            <w:tcW w:w="1232" w:type="dxa"/>
          </w:tcPr>
          <w:p w14:paraId="1E5AD0F8" w14:textId="2C24B46B" w:rsidR="00FC4F48" w:rsidRDefault="00FC4F48" w:rsidP="00081EE1">
            <w:pPr>
              <w:jc w:val="center"/>
              <w:rPr>
                <w:sz w:val="24"/>
                <w:szCs w:val="24"/>
              </w:rPr>
            </w:pPr>
            <w:r>
              <w:rPr>
                <w:sz w:val="24"/>
                <w:szCs w:val="24"/>
              </w:rPr>
              <w:t>17,601</w:t>
            </w:r>
          </w:p>
        </w:tc>
      </w:tr>
      <w:tr w:rsidR="00FC4F48" w14:paraId="50C9CB69" w14:textId="77777777" w:rsidTr="00081EE1">
        <w:trPr>
          <w:jc w:val="center"/>
        </w:trPr>
        <w:tc>
          <w:tcPr>
            <w:tcW w:w="4855" w:type="dxa"/>
          </w:tcPr>
          <w:p w14:paraId="77DC3E50" w14:textId="390E4AA5" w:rsidR="00FC4F48" w:rsidRDefault="00FC4F48" w:rsidP="00081EE1">
            <w:pPr>
              <w:rPr>
                <w:sz w:val="24"/>
                <w:szCs w:val="24"/>
              </w:rPr>
            </w:pPr>
            <w:r>
              <w:rPr>
                <w:sz w:val="24"/>
                <w:szCs w:val="24"/>
              </w:rPr>
              <w:t>Other Noncurrent Liabilities</w:t>
            </w:r>
          </w:p>
        </w:tc>
        <w:tc>
          <w:tcPr>
            <w:tcW w:w="1378" w:type="dxa"/>
          </w:tcPr>
          <w:p w14:paraId="574F8E21" w14:textId="2BA3CF5F" w:rsidR="00FC4F48" w:rsidRDefault="00BD6FE5" w:rsidP="00081EE1">
            <w:pPr>
              <w:jc w:val="center"/>
              <w:rPr>
                <w:sz w:val="24"/>
                <w:szCs w:val="24"/>
              </w:rPr>
            </w:pPr>
            <w:r>
              <w:rPr>
                <w:sz w:val="24"/>
                <w:szCs w:val="24"/>
              </w:rPr>
              <w:t>8,607</w:t>
            </w:r>
          </w:p>
        </w:tc>
        <w:tc>
          <w:tcPr>
            <w:tcW w:w="1232" w:type="dxa"/>
          </w:tcPr>
          <w:p w14:paraId="220C66A0" w14:textId="26B426AD" w:rsidR="00FC4F48" w:rsidRDefault="00BD6FE5" w:rsidP="00081EE1">
            <w:pPr>
              <w:jc w:val="center"/>
              <w:rPr>
                <w:sz w:val="24"/>
                <w:szCs w:val="24"/>
              </w:rPr>
            </w:pPr>
            <w:r>
              <w:rPr>
                <w:sz w:val="24"/>
                <w:szCs w:val="24"/>
              </w:rPr>
              <w:t>9,453</w:t>
            </w:r>
          </w:p>
        </w:tc>
      </w:tr>
      <w:tr w:rsidR="00BD6FE5" w14:paraId="271FE558" w14:textId="77777777" w:rsidTr="00081EE1">
        <w:trPr>
          <w:jc w:val="center"/>
        </w:trPr>
        <w:tc>
          <w:tcPr>
            <w:tcW w:w="4855" w:type="dxa"/>
          </w:tcPr>
          <w:p w14:paraId="4B306809" w14:textId="40FCEB32" w:rsidR="00BD6FE5" w:rsidRPr="00BD6FE5" w:rsidRDefault="00BD6FE5" w:rsidP="00081EE1">
            <w:pPr>
              <w:rPr>
                <w:sz w:val="24"/>
                <w:szCs w:val="24"/>
              </w:rPr>
            </w:pPr>
            <w:r w:rsidRPr="00BD6FE5">
              <w:rPr>
                <w:sz w:val="24"/>
                <w:szCs w:val="24"/>
              </w:rPr>
              <w:t>Deferred Income Tax Liabilities</w:t>
            </w:r>
          </w:p>
        </w:tc>
        <w:tc>
          <w:tcPr>
            <w:tcW w:w="1378" w:type="dxa"/>
          </w:tcPr>
          <w:p w14:paraId="1B13FCD6" w14:textId="15D13631" w:rsidR="00BD6FE5" w:rsidRPr="00BD6FE5" w:rsidRDefault="00BD6FE5" w:rsidP="00081EE1">
            <w:pPr>
              <w:jc w:val="center"/>
              <w:rPr>
                <w:sz w:val="24"/>
                <w:szCs w:val="24"/>
              </w:rPr>
            </w:pPr>
            <w:r>
              <w:rPr>
                <w:sz w:val="24"/>
                <w:szCs w:val="24"/>
              </w:rPr>
              <w:t>2,821</w:t>
            </w:r>
          </w:p>
        </w:tc>
        <w:tc>
          <w:tcPr>
            <w:tcW w:w="1232" w:type="dxa"/>
          </w:tcPr>
          <w:p w14:paraId="68D74FDE" w14:textId="4E8CDE8F" w:rsidR="00BD6FE5" w:rsidRPr="00BD6FE5" w:rsidRDefault="00BD6FE5" w:rsidP="00081EE1">
            <w:pPr>
              <w:jc w:val="center"/>
              <w:rPr>
                <w:sz w:val="24"/>
                <w:szCs w:val="24"/>
              </w:rPr>
            </w:pPr>
            <w:r>
              <w:rPr>
                <w:sz w:val="24"/>
                <w:szCs w:val="24"/>
              </w:rPr>
              <w:t>1,833</w:t>
            </w:r>
          </w:p>
        </w:tc>
      </w:tr>
      <w:tr w:rsidR="00FC4F48" w14:paraId="6652F048" w14:textId="77777777" w:rsidTr="00081EE1">
        <w:trPr>
          <w:jc w:val="center"/>
        </w:trPr>
        <w:tc>
          <w:tcPr>
            <w:tcW w:w="4855" w:type="dxa"/>
          </w:tcPr>
          <w:p w14:paraId="688D5954" w14:textId="77777777" w:rsidR="00FC4F48" w:rsidRPr="00FC4F48" w:rsidRDefault="00FC4F48" w:rsidP="00081EE1">
            <w:pPr>
              <w:rPr>
                <w:b/>
                <w:bCs/>
                <w:sz w:val="24"/>
                <w:szCs w:val="24"/>
              </w:rPr>
            </w:pPr>
            <w:r w:rsidRPr="00FC4F48">
              <w:rPr>
                <w:b/>
                <w:bCs/>
                <w:sz w:val="24"/>
                <w:szCs w:val="24"/>
              </w:rPr>
              <w:t>Liabilities</w:t>
            </w:r>
          </w:p>
        </w:tc>
        <w:tc>
          <w:tcPr>
            <w:tcW w:w="1378" w:type="dxa"/>
          </w:tcPr>
          <w:p w14:paraId="11A8D1B9" w14:textId="131EEAC0" w:rsidR="00FC4F48" w:rsidRPr="00FC4F48" w:rsidRDefault="00BD6FE5" w:rsidP="00081EE1">
            <w:pPr>
              <w:jc w:val="center"/>
              <w:rPr>
                <w:b/>
                <w:bCs/>
                <w:sz w:val="24"/>
                <w:szCs w:val="24"/>
              </w:rPr>
            </w:pPr>
            <w:r>
              <w:rPr>
                <w:b/>
                <w:bCs/>
                <w:sz w:val="24"/>
                <w:szCs w:val="24"/>
              </w:rPr>
              <w:t>69,674</w:t>
            </w:r>
          </w:p>
        </w:tc>
        <w:tc>
          <w:tcPr>
            <w:tcW w:w="1232" w:type="dxa"/>
          </w:tcPr>
          <w:p w14:paraId="14825065" w14:textId="02BD8D1D" w:rsidR="00FC4F48" w:rsidRPr="00FC4F48" w:rsidRDefault="00BD6FE5" w:rsidP="00081EE1">
            <w:pPr>
              <w:jc w:val="center"/>
              <w:rPr>
                <w:b/>
                <w:bCs/>
                <w:sz w:val="24"/>
                <w:szCs w:val="24"/>
              </w:rPr>
            </w:pPr>
            <w:r>
              <w:rPr>
                <w:b/>
                <w:bCs/>
                <w:sz w:val="24"/>
                <w:szCs w:val="24"/>
              </w:rPr>
              <w:t>66,012</w:t>
            </w:r>
          </w:p>
        </w:tc>
      </w:tr>
      <w:tr w:rsidR="00FC4F48" w14:paraId="664F179E" w14:textId="77777777" w:rsidTr="00081EE1">
        <w:trPr>
          <w:jc w:val="center"/>
        </w:trPr>
        <w:tc>
          <w:tcPr>
            <w:tcW w:w="4855" w:type="dxa"/>
          </w:tcPr>
          <w:p w14:paraId="16D8DFD6" w14:textId="77777777" w:rsidR="00FC4F48" w:rsidRPr="00FC4F48" w:rsidRDefault="00FC4F48" w:rsidP="00081EE1">
            <w:pPr>
              <w:rPr>
                <w:b/>
                <w:bCs/>
                <w:sz w:val="24"/>
                <w:szCs w:val="24"/>
              </w:rPr>
            </w:pPr>
            <w:r>
              <w:rPr>
                <w:b/>
                <w:bCs/>
                <w:sz w:val="24"/>
                <w:szCs w:val="24"/>
              </w:rPr>
              <w:t>Equity</w:t>
            </w:r>
          </w:p>
        </w:tc>
        <w:tc>
          <w:tcPr>
            <w:tcW w:w="1378" w:type="dxa"/>
          </w:tcPr>
          <w:p w14:paraId="190FDAE1" w14:textId="37A59211" w:rsidR="00FC4F48" w:rsidRPr="00FC4F48" w:rsidRDefault="00BD6FE5" w:rsidP="00081EE1">
            <w:pPr>
              <w:jc w:val="center"/>
              <w:rPr>
                <w:b/>
                <w:bCs/>
                <w:sz w:val="24"/>
                <w:szCs w:val="24"/>
              </w:rPr>
            </w:pPr>
            <w:r>
              <w:rPr>
                <w:b/>
                <w:bCs/>
                <w:sz w:val="24"/>
                <w:szCs w:val="24"/>
              </w:rPr>
              <w:t>24,680</w:t>
            </w:r>
          </w:p>
        </w:tc>
        <w:tc>
          <w:tcPr>
            <w:tcW w:w="1232" w:type="dxa"/>
          </w:tcPr>
          <w:p w14:paraId="104C9DD1" w14:textId="74DAD630" w:rsidR="00FC4F48" w:rsidRPr="00FC4F48" w:rsidRDefault="00BD6FE5" w:rsidP="00081EE1">
            <w:pPr>
              <w:jc w:val="center"/>
              <w:rPr>
                <w:b/>
                <w:bCs/>
                <w:sz w:val="24"/>
                <w:szCs w:val="24"/>
              </w:rPr>
            </w:pPr>
            <w:r>
              <w:rPr>
                <w:b/>
                <w:bCs/>
                <w:sz w:val="24"/>
                <w:szCs w:val="24"/>
              </w:rPr>
              <w:t>21,284</w:t>
            </w:r>
          </w:p>
        </w:tc>
      </w:tr>
      <w:tr w:rsidR="00FC4F48" w14:paraId="4D52132D" w14:textId="77777777" w:rsidTr="00081EE1">
        <w:trPr>
          <w:jc w:val="center"/>
        </w:trPr>
        <w:tc>
          <w:tcPr>
            <w:tcW w:w="4855" w:type="dxa"/>
          </w:tcPr>
          <w:p w14:paraId="0349E730" w14:textId="77777777" w:rsidR="00FC4F48" w:rsidRDefault="00FC4F48" w:rsidP="00081EE1">
            <w:pPr>
              <w:rPr>
                <w:b/>
                <w:bCs/>
                <w:sz w:val="24"/>
                <w:szCs w:val="24"/>
              </w:rPr>
            </w:pPr>
            <w:r>
              <w:rPr>
                <w:b/>
                <w:bCs/>
                <w:sz w:val="24"/>
                <w:szCs w:val="24"/>
              </w:rPr>
              <w:t>Total Liabilities and Equity</w:t>
            </w:r>
          </w:p>
        </w:tc>
        <w:tc>
          <w:tcPr>
            <w:tcW w:w="1378" w:type="dxa"/>
          </w:tcPr>
          <w:p w14:paraId="4536C74C" w14:textId="7797E72E" w:rsidR="00FC4F48" w:rsidRDefault="00BD6FE5" w:rsidP="00081EE1">
            <w:pPr>
              <w:jc w:val="center"/>
              <w:rPr>
                <w:b/>
                <w:bCs/>
                <w:sz w:val="24"/>
                <w:szCs w:val="24"/>
              </w:rPr>
            </w:pPr>
            <w:r>
              <w:rPr>
                <w:b/>
                <w:bCs/>
                <w:sz w:val="24"/>
                <w:szCs w:val="24"/>
              </w:rPr>
              <w:t>94,354</w:t>
            </w:r>
          </w:p>
        </w:tc>
        <w:tc>
          <w:tcPr>
            <w:tcW w:w="1232" w:type="dxa"/>
          </w:tcPr>
          <w:p w14:paraId="6188848E" w14:textId="458A1C4E" w:rsidR="00FC4F48" w:rsidRDefault="00BD6FE5" w:rsidP="00081EE1">
            <w:pPr>
              <w:jc w:val="center"/>
              <w:rPr>
                <w:b/>
                <w:bCs/>
                <w:sz w:val="24"/>
                <w:szCs w:val="24"/>
              </w:rPr>
            </w:pPr>
            <w:r>
              <w:rPr>
                <w:b/>
                <w:bCs/>
                <w:sz w:val="24"/>
                <w:szCs w:val="24"/>
              </w:rPr>
              <w:t>87,296</w:t>
            </w:r>
          </w:p>
        </w:tc>
      </w:tr>
    </w:tbl>
    <w:p w14:paraId="37E5279C" w14:textId="3CDB3AE5" w:rsidR="00FC4F48" w:rsidRDefault="00FC4F48">
      <w:pPr>
        <w:rPr>
          <w:sz w:val="24"/>
          <w:szCs w:val="24"/>
        </w:rPr>
      </w:pPr>
    </w:p>
    <w:p w14:paraId="3F28EC5C" w14:textId="77777777" w:rsidR="009A2CA9" w:rsidRDefault="009A2CA9">
      <w:pPr>
        <w:rPr>
          <w:sz w:val="24"/>
          <w:szCs w:val="24"/>
        </w:rPr>
      </w:pPr>
    </w:p>
    <w:p w14:paraId="07E36C91" w14:textId="61147149" w:rsidR="009A2CA9" w:rsidRPr="00FE732F" w:rsidRDefault="009A2CA9">
      <w:pPr>
        <w:rPr>
          <w:b/>
          <w:bCs/>
          <w:sz w:val="24"/>
          <w:szCs w:val="24"/>
        </w:rPr>
      </w:pPr>
      <w:r w:rsidRPr="00FE732F">
        <w:rPr>
          <w:b/>
          <w:bCs/>
          <w:sz w:val="24"/>
          <w:szCs w:val="24"/>
        </w:rPr>
        <w:lastRenderedPageBreak/>
        <w:t xml:space="preserve">Current Liabilities:  </w:t>
      </w:r>
    </w:p>
    <w:p w14:paraId="684ADF86" w14:textId="3DDC8065" w:rsidR="00022675" w:rsidRDefault="00022675">
      <w:pPr>
        <w:rPr>
          <w:sz w:val="24"/>
          <w:szCs w:val="24"/>
        </w:rPr>
      </w:pPr>
      <w:r>
        <w:rPr>
          <w:sz w:val="24"/>
          <w:szCs w:val="24"/>
        </w:rPr>
        <w:t>As mentioned above, current liabilities are those obligations that are due within one year.</w:t>
      </w:r>
    </w:p>
    <w:p w14:paraId="416F4739" w14:textId="200048EF" w:rsidR="00BD6FE5" w:rsidRDefault="009A2CA9">
      <w:pPr>
        <w:rPr>
          <w:sz w:val="24"/>
          <w:szCs w:val="24"/>
        </w:rPr>
      </w:pPr>
      <w:r>
        <w:rPr>
          <w:sz w:val="24"/>
          <w:szCs w:val="24"/>
        </w:rPr>
        <w:t>Total Current Liabilities for Pepsi makes up 39.4% of the total liabilities for 2021.  When comparing the current liabilities of Pepsi to that of 2020 it was 29.4%.  This shows that in terms of current liabilities for Pepsi Co. there was a 10% increase in the current liabilities from 2020 to 2021.</w:t>
      </w:r>
    </w:p>
    <w:p w14:paraId="45FAC58D" w14:textId="56895FC4" w:rsidR="009A2CA9" w:rsidRDefault="009A2CA9">
      <w:pPr>
        <w:rPr>
          <w:sz w:val="24"/>
          <w:szCs w:val="24"/>
        </w:rPr>
      </w:pPr>
      <w:r>
        <w:rPr>
          <w:sz w:val="24"/>
          <w:szCs w:val="24"/>
        </w:rPr>
        <w:t>Total Current Liabilities for Coca-Cola makes up 28.6% of the total liabilities for 2021.  When comparing the current liabilities of Coca-Cola to that of the previous year (2020) this was 22.1%.  The difference between 2020 and 2021 in current liabilities compared to total liabilities is showing an increase of 6.5%.</w:t>
      </w:r>
    </w:p>
    <w:p w14:paraId="6F2BC6FB" w14:textId="3FB8488D" w:rsidR="009A2CA9" w:rsidRDefault="009A2CA9">
      <w:pPr>
        <w:rPr>
          <w:sz w:val="24"/>
          <w:szCs w:val="24"/>
        </w:rPr>
      </w:pPr>
      <w:r>
        <w:rPr>
          <w:sz w:val="24"/>
          <w:szCs w:val="24"/>
        </w:rPr>
        <w:t xml:space="preserve">When comparing the current liabilities of Pepsi for 2021 to that of Coca-Cola, Pepsi’s current liabilities are 10.6% higher than Coca-Cola.  </w:t>
      </w:r>
      <w:r w:rsidR="008C7388">
        <w:rPr>
          <w:sz w:val="24"/>
          <w:szCs w:val="24"/>
        </w:rPr>
        <w:t xml:space="preserve">This leads me to believe that since </w:t>
      </w:r>
      <w:r>
        <w:rPr>
          <w:sz w:val="24"/>
          <w:szCs w:val="24"/>
        </w:rPr>
        <w:t xml:space="preserve">Pepsi </w:t>
      </w:r>
      <w:r w:rsidR="008C7388">
        <w:rPr>
          <w:sz w:val="24"/>
          <w:szCs w:val="24"/>
        </w:rPr>
        <w:t>has a higher level of accounts receivables than Coca-Cola they may not to turn around their payables as quickly.</w:t>
      </w:r>
    </w:p>
    <w:p w14:paraId="1BC422FD" w14:textId="4E7F0E9D" w:rsidR="008C7388" w:rsidRDefault="008C7388">
      <w:pPr>
        <w:rPr>
          <w:sz w:val="24"/>
          <w:szCs w:val="24"/>
        </w:rPr>
      </w:pPr>
    </w:p>
    <w:p w14:paraId="7B607A8B" w14:textId="1126F5CC" w:rsidR="008C7388" w:rsidRPr="00FE732F" w:rsidRDefault="008C7388">
      <w:pPr>
        <w:rPr>
          <w:b/>
          <w:bCs/>
          <w:sz w:val="24"/>
          <w:szCs w:val="24"/>
        </w:rPr>
      </w:pPr>
      <w:r w:rsidRPr="00FE732F">
        <w:rPr>
          <w:b/>
          <w:bCs/>
          <w:sz w:val="24"/>
          <w:szCs w:val="24"/>
        </w:rPr>
        <w:t>Long-Term Debt:</w:t>
      </w:r>
    </w:p>
    <w:p w14:paraId="7A5C87AB" w14:textId="20257451" w:rsidR="00022675" w:rsidRDefault="00022675">
      <w:pPr>
        <w:rPr>
          <w:sz w:val="24"/>
          <w:szCs w:val="24"/>
        </w:rPr>
      </w:pPr>
      <w:r>
        <w:rPr>
          <w:sz w:val="24"/>
          <w:szCs w:val="24"/>
        </w:rPr>
        <w:t>The long-term debt that is included on the balance sheet is any obligation that is due in more than one year’s time.</w:t>
      </w:r>
    </w:p>
    <w:p w14:paraId="7AAB8367" w14:textId="4F368A18" w:rsidR="008C7388" w:rsidRDefault="008C7388">
      <w:pPr>
        <w:rPr>
          <w:sz w:val="24"/>
          <w:szCs w:val="24"/>
        </w:rPr>
      </w:pPr>
      <w:r>
        <w:rPr>
          <w:sz w:val="24"/>
          <w:szCs w:val="24"/>
        </w:rPr>
        <w:t xml:space="preserve">The total Long-Term Debt for Pepsi makes up 47.3% of the total liabilities for 2021 compared to 50.9% in 2020.  Between 2021 and 2020 the long-term debt has decreased by 3.6%.  </w:t>
      </w:r>
    </w:p>
    <w:p w14:paraId="628D5E4A" w14:textId="10B91D18" w:rsidR="008C7388" w:rsidRDefault="008C7388">
      <w:pPr>
        <w:rPr>
          <w:sz w:val="24"/>
          <w:szCs w:val="24"/>
        </w:rPr>
      </w:pPr>
      <w:r>
        <w:rPr>
          <w:sz w:val="24"/>
          <w:szCs w:val="24"/>
        </w:rPr>
        <w:t>The total Long-Term Debt for Coca-Cola makes up 54.7% of the total liabilities for 2021 compared to 26.7% in 2020.  Between 2021 and 2020 the long-term debt has increased by 28%.</w:t>
      </w:r>
    </w:p>
    <w:p w14:paraId="4FCC3000" w14:textId="3B694F9E" w:rsidR="008C7388" w:rsidRDefault="008C7388">
      <w:pPr>
        <w:rPr>
          <w:sz w:val="24"/>
          <w:szCs w:val="24"/>
        </w:rPr>
      </w:pPr>
      <w:r>
        <w:rPr>
          <w:sz w:val="24"/>
          <w:szCs w:val="24"/>
        </w:rPr>
        <w:t xml:space="preserve">From these comparisons of long-term debt between Pepsi and Coca-Cola, Pepsi was able to reduce their long-term debt in 2021 by 3.6%, showing that they have been working on paying off their debt and not </w:t>
      </w:r>
      <w:r w:rsidR="00022675">
        <w:rPr>
          <w:sz w:val="24"/>
          <w:szCs w:val="24"/>
        </w:rPr>
        <w:t>adding to their outstanding long-term obligations.  Whereas, in 2021 Coca-Cola increased their long-term debt by 28% showing they made more long-term obligations to improve areas of their business.</w:t>
      </w:r>
    </w:p>
    <w:p w14:paraId="522035BE" w14:textId="38BA8F98" w:rsidR="00022675" w:rsidRDefault="00022675">
      <w:pPr>
        <w:rPr>
          <w:sz w:val="24"/>
          <w:szCs w:val="24"/>
        </w:rPr>
      </w:pPr>
    </w:p>
    <w:p w14:paraId="68237E54" w14:textId="3017A390" w:rsidR="00022675" w:rsidRPr="00C30E37" w:rsidRDefault="00022675">
      <w:pPr>
        <w:rPr>
          <w:b/>
          <w:bCs/>
          <w:sz w:val="24"/>
          <w:szCs w:val="24"/>
        </w:rPr>
      </w:pPr>
      <w:r w:rsidRPr="00C30E37">
        <w:rPr>
          <w:b/>
          <w:bCs/>
          <w:sz w:val="24"/>
          <w:szCs w:val="24"/>
        </w:rPr>
        <w:t>Deferred Income Tax Liabilities:</w:t>
      </w:r>
    </w:p>
    <w:p w14:paraId="15EA859C" w14:textId="64DC098A" w:rsidR="00022675" w:rsidRDefault="00022675">
      <w:pPr>
        <w:rPr>
          <w:sz w:val="24"/>
          <w:szCs w:val="24"/>
        </w:rPr>
      </w:pPr>
      <w:r>
        <w:rPr>
          <w:sz w:val="24"/>
          <w:szCs w:val="24"/>
        </w:rPr>
        <w:t xml:space="preserve">The deferred income tax liabilities </w:t>
      </w:r>
      <w:proofErr w:type="gramStart"/>
      <w:r>
        <w:rPr>
          <w:sz w:val="24"/>
          <w:szCs w:val="24"/>
        </w:rPr>
        <w:t>is</w:t>
      </w:r>
      <w:proofErr w:type="gramEnd"/>
      <w:r>
        <w:rPr>
          <w:sz w:val="24"/>
          <w:szCs w:val="24"/>
        </w:rPr>
        <w:t xml:space="preserve"> the amount of tax that is expected to be paid in the year for taxes.  </w:t>
      </w:r>
    </w:p>
    <w:p w14:paraId="2067A866" w14:textId="44D13E90" w:rsidR="00022675" w:rsidRDefault="00022675">
      <w:pPr>
        <w:rPr>
          <w:sz w:val="24"/>
          <w:szCs w:val="24"/>
        </w:rPr>
      </w:pPr>
      <w:r>
        <w:rPr>
          <w:sz w:val="24"/>
          <w:szCs w:val="24"/>
        </w:rPr>
        <w:lastRenderedPageBreak/>
        <w:t xml:space="preserve">When looking at the </w:t>
      </w:r>
      <w:r w:rsidR="00C30E37">
        <w:rPr>
          <w:sz w:val="24"/>
          <w:szCs w:val="24"/>
        </w:rPr>
        <w:t>deferred income tax liabilities for Pepsi in 2021 this made up 6.3% of the total liabilities, whereas, in 2020 this was 5.3% of the total liabilities.  This was a 1% increase from 2020 to 2021.</w:t>
      </w:r>
    </w:p>
    <w:p w14:paraId="2A59ECA9" w14:textId="432ACEBF" w:rsidR="00C30E37" w:rsidRDefault="00C30E37">
      <w:pPr>
        <w:rPr>
          <w:sz w:val="24"/>
          <w:szCs w:val="24"/>
        </w:rPr>
      </w:pPr>
      <w:r>
        <w:rPr>
          <w:sz w:val="24"/>
          <w:szCs w:val="24"/>
        </w:rPr>
        <w:t>For Coca-Cola the deferred income tax liabilities for 2021 was 4.0% of the total liabilities.  However, for 2020 the deferred income tax liabilities was 2.8%, a difference of a 1.2% increase between 2020 and 2021.</w:t>
      </w:r>
    </w:p>
    <w:p w14:paraId="5C4A40FD" w14:textId="23BF9289" w:rsidR="00C30E37" w:rsidRDefault="00C30E37">
      <w:pPr>
        <w:rPr>
          <w:sz w:val="24"/>
          <w:szCs w:val="24"/>
        </w:rPr>
      </w:pPr>
      <w:r>
        <w:rPr>
          <w:sz w:val="24"/>
          <w:szCs w:val="24"/>
        </w:rPr>
        <w:t>When comparing Pepsi to Coca-Cola, the deferred income tax liabilities between 2020 and 2021 both increase by approximately 1%.  Pepsi’s tax liabilities are 2.3% higher than Coca-Cola’s for 2021, this leads me to believe that Pepsi has a higher taxable income than Coke for the year.</w:t>
      </w:r>
    </w:p>
    <w:p w14:paraId="7BD87E82" w14:textId="3B7A4DF1" w:rsidR="00C30E37" w:rsidRDefault="00C30E37">
      <w:pPr>
        <w:rPr>
          <w:sz w:val="24"/>
          <w:szCs w:val="24"/>
        </w:rPr>
      </w:pPr>
    </w:p>
    <w:p w14:paraId="5E0CF52F" w14:textId="171FD876" w:rsidR="00C30E37" w:rsidRDefault="00C30E37">
      <w:pPr>
        <w:rPr>
          <w:b/>
          <w:bCs/>
          <w:sz w:val="24"/>
          <w:szCs w:val="24"/>
        </w:rPr>
      </w:pPr>
      <w:r w:rsidRPr="00C30E37">
        <w:rPr>
          <w:b/>
          <w:bCs/>
          <w:sz w:val="24"/>
          <w:szCs w:val="24"/>
        </w:rPr>
        <w:t>Other Noncurrent Liabilities:</w:t>
      </w:r>
    </w:p>
    <w:p w14:paraId="3BBFE7C1" w14:textId="3EEC860E" w:rsidR="00C30E37" w:rsidRDefault="00C30E37">
      <w:pPr>
        <w:rPr>
          <w:sz w:val="24"/>
          <w:szCs w:val="24"/>
        </w:rPr>
      </w:pPr>
      <w:r>
        <w:rPr>
          <w:sz w:val="24"/>
          <w:szCs w:val="24"/>
        </w:rPr>
        <w:t xml:space="preserve">The other noncurrent liabilities are those liabilities that will be settled in more than a year or further into the future and can include pension and other tax liabilities.  </w:t>
      </w:r>
    </w:p>
    <w:p w14:paraId="12DF9131" w14:textId="335B29C0" w:rsidR="00C30E37" w:rsidRDefault="00C30E37">
      <w:pPr>
        <w:rPr>
          <w:sz w:val="24"/>
          <w:szCs w:val="24"/>
        </w:rPr>
      </w:pPr>
      <w:r>
        <w:rPr>
          <w:sz w:val="24"/>
          <w:szCs w:val="24"/>
        </w:rPr>
        <w:t>For Pepsi in 2021, the other noncurrent liabilities made up 12% of the total liabilities.  The other noncurrent liabilities for 2020 was 14.3%.  This is a decrease of 2.3% between 2020 and 2021.  This shows that some of these liabilities have been paid</w:t>
      </w:r>
      <w:r w:rsidR="00FE732F">
        <w:rPr>
          <w:sz w:val="24"/>
          <w:szCs w:val="24"/>
        </w:rPr>
        <w:t xml:space="preserve"> during the year.</w:t>
      </w:r>
    </w:p>
    <w:p w14:paraId="4B5D6F4F" w14:textId="5D0B4A82" w:rsidR="00FE732F" w:rsidRDefault="00FE732F">
      <w:pPr>
        <w:rPr>
          <w:sz w:val="24"/>
          <w:szCs w:val="24"/>
        </w:rPr>
      </w:pPr>
      <w:r>
        <w:rPr>
          <w:sz w:val="24"/>
          <w:szCs w:val="24"/>
        </w:rPr>
        <w:t>For Coca-Cola in 2021, the other noncurrent liabilities made up 12.4% of the total liabilities.  The noncurrent liabilities for 2020 was 14.3%, a decrease of 1.9% between the years.  Coca-Cola also paid off some of these noncurrent obligations during the year.</w:t>
      </w:r>
    </w:p>
    <w:p w14:paraId="15364A53" w14:textId="5ECE179C" w:rsidR="00FE732F" w:rsidRDefault="00FE732F">
      <w:pPr>
        <w:rPr>
          <w:sz w:val="24"/>
          <w:szCs w:val="24"/>
        </w:rPr>
      </w:pPr>
    </w:p>
    <w:p w14:paraId="236CA420" w14:textId="36EFC3FE" w:rsidR="00FE732F" w:rsidRDefault="00FE732F">
      <w:pPr>
        <w:rPr>
          <w:sz w:val="24"/>
          <w:szCs w:val="24"/>
        </w:rPr>
      </w:pPr>
      <w:r>
        <w:rPr>
          <w:b/>
          <w:bCs/>
          <w:sz w:val="24"/>
          <w:szCs w:val="24"/>
        </w:rPr>
        <w:t>Total Liabilities:</w:t>
      </w:r>
    </w:p>
    <w:p w14:paraId="7658DC6C" w14:textId="4A647102" w:rsidR="00FE732F" w:rsidRPr="00FE732F" w:rsidRDefault="00FE732F">
      <w:pPr>
        <w:rPr>
          <w:sz w:val="24"/>
          <w:szCs w:val="24"/>
        </w:rPr>
      </w:pPr>
      <w:r>
        <w:rPr>
          <w:sz w:val="24"/>
          <w:szCs w:val="24"/>
        </w:rPr>
        <w:t xml:space="preserve">Finally, when looking at the Total Liabilities in comparison to the Total Liabilities and Equity for both Pepsi and Coca-Cola for 2021, they both decreased their total percentages for the year.  Pepsi’s total liabilities made up 82.5% of the total liabilities and equity compared to 85.4% in 2020.  Coca-Cola’s total liabilities made up 73.8% of the total liabilities and equity compared to 75.6% in 2020.  This leaves Coca-Cola having a higher percentage of equity than Pepsi.  </w:t>
      </w:r>
    </w:p>
    <w:sectPr w:rsidR="00FE732F" w:rsidRPr="00FE7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09"/>
    <w:rsid w:val="00022675"/>
    <w:rsid w:val="000263F1"/>
    <w:rsid w:val="000A5009"/>
    <w:rsid w:val="008C7388"/>
    <w:rsid w:val="009A2CA9"/>
    <w:rsid w:val="00BD6FE5"/>
    <w:rsid w:val="00C30E37"/>
    <w:rsid w:val="00CE3BE6"/>
    <w:rsid w:val="00FC4F48"/>
    <w:rsid w:val="00FE7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ACFFA"/>
  <w15:chartTrackingRefBased/>
  <w15:docId w15:val="{C2858B40-4100-433D-932D-65114BE4F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3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Konieczny</dc:creator>
  <cp:keywords/>
  <dc:description/>
  <cp:lastModifiedBy>Jennifer Konieczny</cp:lastModifiedBy>
  <cp:revision>1</cp:revision>
  <dcterms:created xsi:type="dcterms:W3CDTF">2023-01-30T01:25:00Z</dcterms:created>
  <dcterms:modified xsi:type="dcterms:W3CDTF">2023-01-30T02:57:00Z</dcterms:modified>
</cp:coreProperties>
</file>