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92DD" w14:textId="1F454C6E" w:rsidR="00B840A1" w:rsidRDefault="004A5E7B">
      <w:pPr>
        <w:rPr>
          <w:rFonts w:ascii="Times New Roman" w:hAnsi="Times New Roman" w:cs="Times New Roman"/>
          <w:sz w:val="24"/>
          <w:szCs w:val="24"/>
        </w:rPr>
      </w:pPr>
      <w:r>
        <w:rPr>
          <w:rFonts w:ascii="Times New Roman" w:hAnsi="Times New Roman" w:cs="Times New Roman"/>
          <w:sz w:val="24"/>
          <w:szCs w:val="24"/>
        </w:rPr>
        <w:t>The following is the comparative explanation of profitability for FY 2021 by both Coca Cola (KO) and Pepsi Co. (PEP) as outlined in</w:t>
      </w:r>
      <w:r w:rsidR="00464E59">
        <w:rPr>
          <w:rFonts w:ascii="Times New Roman" w:hAnsi="Times New Roman" w:cs="Times New Roman"/>
          <w:sz w:val="24"/>
          <w:szCs w:val="24"/>
        </w:rPr>
        <w:t xml:space="preserve"> MD&amp;A analysis of operational risks and challenges, or</w:t>
      </w:r>
      <w:r>
        <w:rPr>
          <w:rFonts w:ascii="Times New Roman" w:hAnsi="Times New Roman" w:cs="Times New Roman"/>
          <w:sz w:val="24"/>
          <w:szCs w:val="24"/>
        </w:rPr>
        <w:t xml:space="preserve"> </w:t>
      </w:r>
      <w:r w:rsidRPr="004A5E7B">
        <w:rPr>
          <w:rFonts w:ascii="Times New Roman" w:hAnsi="Times New Roman" w:cs="Times New Roman"/>
          <w:sz w:val="24"/>
          <w:szCs w:val="24"/>
          <w:u w:val="single"/>
        </w:rPr>
        <w:t>Item 7</w:t>
      </w:r>
      <w:r>
        <w:rPr>
          <w:rFonts w:ascii="Times New Roman" w:hAnsi="Times New Roman" w:cs="Times New Roman"/>
          <w:sz w:val="24"/>
          <w:szCs w:val="24"/>
        </w:rPr>
        <w:t xml:space="preserve"> for both 10-K disclosures. </w:t>
      </w:r>
    </w:p>
    <w:p w14:paraId="7CDE77AE" w14:textId="441F78FC" w:rsidR="004A5E7B" w:rsidRDefault="004A5E7B" w:rsidP="004A5E7B">
      <w:pPr>
        <w:pStyle w:val="ListParagraph"/>
        <w:numPr>
          <w:ilvl w:val="0"/>
          <w:numId w:val="1"/>
        </w:numPr>
        <w:rPr>
          <w:rFonts w:ascii="Times New Roman" w:hAnsi="Times New Roman" w:cs="Times New Roman"/>
          <w:sz w:val="24"/>
          <w:szCs w:val="24"/>
        </w:rPr>
      </w:pPr>
      <w:r w:rsidRPr="004A5E7B">
        <w:rPr>
          <w:rFonts w:ascii="Times New Roman" w:hAnsi="Times New Roman" w:cs="Times New Roman"/>
          <w:sz w:val="24"/>
          <w:szCs w:val="24"/>
          <w:u w:val="single"/>
        </w:rPr>
        <w:t>KO management assertions</w:t>
      </w:r>
      <w:r w:rsidRPr="004A5E7B">
        <w:rPr>
          <w:rFonts w:ascii="Times New Roman" w:hAnsi="Times New Roman" w:cs="Times New Roman"/>
          <w:sz w:val="24"/>
          <w:szCs w:val="24"/>
        </w:rPr>
        <w:t>:</w:t>
      </w:r>
    </w:p>
    <w:tbl>
      <w:tblPr>
        <w:tblW w:w="12500" w:type="dxa"/>
        <w:tblLook w:val="04A0" w:firstRow="1" w:lastRow="0" w:firstColumn="1" w:lastColumn="0" w:noHBand="0" w:noVBand="1"/>
      </w:tblPr>
      <w:tblGrid>
        <w:gridCol w:w="2880"/>
        <w:gridCol w:w="960"/>
        <w:gridCol w:w="1160"/>
        <w:gridCol w:w="1240"/>
        <w:gridCol w:w="960"/>
        <w:gridCol w:w="960"/>
        <w:gridCol w:w="1240"/>
        <w:gridCol w:w="960"/>
        <w:gridCol w:w="1040"/>
        <w:gridCol w:w="1100"/>
      </w:tblGrid>
      <w:tr w:rsidR="00F86A3E" w:rsidRPr="00F86A3E" w14:paraId="7DADFA5E" w14:textId="77777777" w:rsidTr="00F86A3E">
        <w:trPr>
          <w:trHeight w:val="444"/>
        </w:trPr>
        <w:tc>
          <w:tcPr>
            <w:tcW w:w="2880" w:type="dxa"/>
            <w:tcBorders>
              <w:top w:val="nil"/>
              <w:left w:val="nil"/>
              <w:bottom w:val="single" w:sz="8" w:space="0" w:color="000000"/>
              <w:right w:val="nil"/>
            </w:tcBorders>
            <w:shd w:val="clear" w:color="auto" w:fill="auto"/>
            <w:vAlign w:val="bottom"/>
            <w:hideMark/>
          </w:tcPr>
          <w:p w14:paraId="58AC23E8" w14:textId="77777777" w:rsidR="00F86A3E" w:rsidRPr="00F86A3E" w:rsidRDefault="00F86A3E" w:rsidP="00F86A3E">
            <w:pPr>
              <w:spacing w:after="0" w:line="240" w:lineRule="auto"/>
              <w:rPr>
                <w:rFonts w:ascii="Times New Roman" w:eastAsia="Times New Roman" w:hAnsi="Times New Roman" w:cs="Times New Roman"/>
                <w:color w:val="000000"/>
                <w:sz w:val="16"/>
                <w:szCs w:val="16"/>
              </w:rPr>
            </w:pPr>
            <w:r w:rsidRPr="00F86A3E">
              <w:rPr>
                <w:rFonts w:ascii="Times New Roman" w:eastAsia="Times New Roman" w:hAnsi="Times New Roman" w:cs="Times New Roman"/>
                <w:color w:val="000000"/>
                <w:sz w:val="16"/>
                <w:szCs w:val="16"/>
              </w:rPr>
              <w:t>Year Ended December 31,</w:t>
            </w:r>
          </w:p>
        </w:tc>
        <w:tc>
          <w:tcPr>
            <w:tcW w:w="2120" w:type="dxa"/>
            <w:gridSpan w:val="2"/>
            <w:tcBorders>
              <w:top w:val="nil"/>
              <w:left w:val="nil"/>
              <w:bottom w:val="single" w:sz="8" w:space="0" w:color="000000"/>
              <w:right w:val="nil"/>
            </w:tcBorders>
            <w:shd w:val="clear" w:color="auto" w:fill="auto"/>
            <w:vAlign w:val="bottom"/>
            <w:hideMark/>
          </w:tcPr>
          <w:p w14:paraId="5EEA4E60" w14:textId="77777777" w:rsidR="00F86A3E" w:rsidRPr="00F86A3E" w:rsidRDefault="00F86A3E" w:rsidP="00F86A3E">
            <w:pPr>
              <w:spacing w:after="0" w:line="240" w:lineRule="auto"/>
              <w:jc w:val="center"/>
              <w:rPr>
                <w:rFonts w:ascii="Times New Roman" w:eastAsia="Times New Roman" w:hAnsi="Times New Roman" w:cs="Times New Roman"/>
                <w:b/>
                <w:bCs/>
                <w:color w:val="000000"/>
                <w:sz w:val="16"/>
                <w:szCs w:val="16"/>
              </w:rPr>
            </w:pPr>
            <w:r w:rsidRPr="00F86A3E">
              <w:rPr>
                <w:rFonts w:ascii="Times New Roman" w:eastAsia="Times New Roman" w:hAnsi="Times New Roman" w:cs="Times New Roman"/>
                <w:b/>
                <w:bCs/>
                <w:color w:val="000000"/>
                <w:sz w:val="16"/>
                <w:szCs w:val="16"/>
              </w:rPr>
              <w:t>2021</w:t>
            </w:r>
          </w:p>
        </w:tc>
        <w:tc>
          <w:tcPr>
            <w:tcW w:w="1240" w:type="dxa"/>
            <w:tcBorders>
              <w:top w:val="nil"/>
              <w:left w:val="nil"/>
              <w:bottom w:val="single" w:sz="8" w:space="0" w:color="000000"/>
              <w:right w:val="nil"/>
            </w:tcBorders>
            <w:shd w:val="clear" w:color="auto" w:fill="auto"/>
            <w:vAlign w:val="bottom"/>
            <w:hideMark/>
          </w:tcPr>
          <w:p w14:paraId="5DCDA392" w14:textId="77777777" w:rsidR="00F86A3E" w:rsidRPr="00F86A3E" w:rsidRDefault="00F86A3E" w:rsidP="00F86A3E">
            <w:pPr>
              <w:spacing w:after="0" w:line="240" w:lineRule="auto"/>
              <w:rPr>
                <w:rFonts w:ascii="Times New Roman" w:eastAsia="Times New Roman" w:hAnsi="Times New Roman" w:cs="Times New Roman"/>
                <w:b/>
                <w:bCs/>
                <w:color w:val="000000"/>
                <w:sz w:val="16"/>
                <w:szCs w:val="16"/>
              </w:rPr>
            </w:pPr>
            <w:r w:rsidRPr="00F86A3E">
              <w:rPr>
                <w:rFonts w:ascii="Times New Roman" w:eastAsia="Times New Roman" w:hAnsi="Times New Roman" w:cs="Times New Roman"/>
                <w:b/>
                <w:bCs/>
                <w:color w:val="000000"/>
                <w:sz w:val="16"/>
                <w:szCs w:val="16"/>
              </w:rPr>
              <w:t>2021 % of Net Revenue</w:t>
            </w:r>
          </w:p>
        </w:tc>
        <w:tc>
          <w:tcPr>
            <w:tcW w:w="1920" w:type="dxa"/>
            <w:gridSpan w:val="2"/>
            <w:tcBorders>
              <w:top w:val="nil"/>
              <w:left w:val="nil"/>
              <w:bottom w:val="single" w:sz="8" w:space="0" w:color="000000"/>
              <w:right w:val="nil"/>
            </w:tcBorders>
            <w:shd w:val="clear" w:color="auto" w:fill="auto"/>
            <w:vAlign w:val="bottom"/>
            <w:hideMark/>
          </w:tcPr>
          <w:p w14:paraId="35090B0E" w14:textId="77777777" w:rsidR="00F86A3E" w:rsidRPr="00F86A3E" w:rsidRDefault="00F86A3E" w:rsidP="00F86A3E">
            <w:pPr>
              <w:spacing w:after="0" w:line="240" w:lineRule="auto"/>
              <w:jc w:val="center"/>
              <w:rPr>
                <w:rFonts w:ascii="Times New Roman" w:eastAsia="Times New Roman" w:hAnsi="Times New Roman" w:cs="Times New Roman"/>
                <w:color w:val="000000"/>
                <w:sz w:val="16"/>
                <w:szCs w:val="16"/>
              </w:rPr>
            </w:pPr>
            <w:r w:rsidRPr="00F86A3E">
              <w:rPr>
                <w:rFonts w:ascii="Times New Roman" w:eastAsia="Times New Roman" w:hAnsi="Times New Roman" w:cs="Times New Roman"/>
                <w:color w:val="000000"/>
                <w:sz w:val="16"/>
                <w:szCs w:val="16"/>
              </w:rPr>
              <w:t>2020</w:t>
            </w:r>
          </w:p>
        </w:tc>
        <w:tc>
          <w:tcPr>
            <w:tcW w:w="1240" w:type="dxa"/>
            <w:tcBorders>
              <w:top w:val="nil"/>
              <w:left w:val="nil"/>
              <w:bottom w:val="single" w:sz="8" w:space="0" w:color="000000"/>
              <w:right w:val="nil"/>
            </w:tcBorders>
            <w:shd w:val="clear" w:color="auto" w:fill="auto"/>
            <w:vAlign w:val="bottom"/>
            <w:hideMark/>
          </w:tcPr>
          <w:p w14:paraId="36F9EAF5" w14:textId="77777777" w:rsidR="00F86A3E" w:rsidRPr="00F86A3E" w:rsidRDefault="00F86A3E" w:rsidP="00F86A3E">
            <w:pPr>
              <w:spacing w:after="0" w:line="240" w:lineRule="auto"/>
              <w:rPr>
                <w:rFonts w:ascii="Times New Roman" w:eastAsia="Times New Roman" w:hAnsi="Times New Roman" w:cs="Times New Roman"/>
                <w:color w:val="000000"/>
                <w:sz w:val="16"/>
                <w:szCs w:val="16"/>
              </w:rPr>
            </w:pPr>
            <w:r w:rsidRPr="00F86A3E">
              <w:rPr>
                <w:rFonts w:ascii="Times New Roman" w:eastAsia="Times New Roman" w:hAnsi="Times New Roman" w:cs="Times New Roman"/>
                <w:color w:val="000000"/>
                <w:sz w:val="16"/>
                <w:szCs w:val="16"/>
              </w:rPr>
              <w:t>2020 % of Net Revenue</w:t>
            </w:r>
          </w:p>
        </w:tc>
        <w:tc>
          <w:tcPr>
            <w:tcW w:w="2000" w:type="dxa"/>
            <w:gridSpan w:val="2"/>
            <w:tcBorders>
              <w:top w:val="nil"/>
              <w:left w:val="nil"/>
              <w:bottom w:val="single" w:sz="8" w:space="0" w:color="000000"/>
              <w:right w:val="nil"/>
            </w:tcBorders>
            <w:shd w:val="clear" w:color="auto" w:fill="auto"/>
            <w:vAlign w:val="bottom"/>
            <w:hideMark/>
          </w:tcPr>
          <w:p w14:paraId="2CB78ECC" w14:textId="77777777" w:rsidR="00F86A3E" w:rsidRPr="00F86A3E" w:rsidRDefault="00F86A3E" w:rsidP="00F86A3E">
            <w:pPr>
              <w:spacing w:after="0" w:line="240" w:lineRule="auto"/>
              <w:jc w:val="center"/>
              <w:rPr>
                <w:rFonts w:ascii="Times New Roman" w:eastAsia="Times New Roman" w:hAnsi="Times New Roman" w:cs="Times New Roman"/>
                <w:color w:val="000000"/>
                <w:sz w:val="16"/>
                <w:szCs w:val="16"/>
              </w:rPr>
            </w:pPr>
            <w:r w:rsidRPr="00F86A3E">
              <w:rPr>
                <w:rFonts w:ascii="Times New Roman" w:eastAsia="Times New Roman" w:hAnsi="Times New Roman" w:cs="Times New Roman"/>
                <w:color w:val="000000"/>
                <w:sz w:val="16"/>
                <w:szCs w:val="16"/>
              </w:rPr>
              <w:t>2019</w:t>
            </w:r>
          </w:p>
        </w:tc>
        <w:tc>
          <w:tcPr>
            <w:tcW w:w="1100" w:type="dxa"/>
            <w:tcBorders>
              <w:top w:val="nil"/>
              <w:left w:val="nil"/>
              <w:bottom w:val="single" w:sz="8" w:space="0" w:color="000000"/>
              <w:right w:val="nil"/>
            </w:tcBorders>
            <w:shd w:val="clear" w:color="auto" w:fill="auto"/>
            <w:vAlign w:val="bottom"/>
            <w:hideMark/>
          </w:tcPr>
          <w:p w14:paraId="18EE0120" w14:textId="77777777" w:rsidR="00F86A3E" w:rsidRPr="00F86A3E" w:rsidRDefault="00F86A3E" w:rsidP="00F86A3E">
            <w:pPr>
              <w:spacing w:after="0" w:line="240" w:lineRule="auto"/>
              <w:rPr>
                <w:rFonts w:ascii="Times New Roman" w:eastAsia="Times New Roman" w:hAnsi="Times New Roman" w:cs="Times New Roman"/>
                <w:color w:val="000000"/>
                <w:sz w:val="16"/>
                <w:szCs w:val="16"/>
              </w:rPr>
            </w:pPr>
            <w:r w:rsidRPr="00F86A3E">
              <w:rPr>
                <w:rFonts w:ascii="Times New Roman" w:eastAsia="Times New Roman" w:hAnsi="Times New Roman" w:cs="Times New Roman"/>
                <w:color w:val="000000"/>
                <w:sz w:val="16"/>
                <w:szCs w:val="16"/>
              </w:rPr>
              <w:t>2019 % of Net Revenue</w:t>
            </w:r>
          </w:p>
        </w:tc>
      </w:tr>
      <w:tr w:rsidR="00F86A3E" w:rsidRPr="00F86A3E" w14:paraId="4E20BFBD" w14:textId="77777777" w:rsidTr="00F86A3E">
        <w:trPr>
          <w:trHeight w:val="288"/>
        </w:trPr>
        <w:tc>
          <w:tcPr>
            <w:tcW w:w="2880" w:type="dxa"/>
            <w:tcBorders>
              <w:top w:val="single" w:sz="8" w:space="0" w:color="000000"/>
              <w:left w:val="nil"/>
              <w:bottom w:val="nil"/>
              <w:right w:val="nil"/>
            </w:tcBorders>
            <w:shd w:val="clear" w:color="000000" w:fill="CCEEFF"/>
            <w:vAlign w:val="bottom"/>
            <w:hideMark/>
          </w:tcPr>
          <w:p w14:paraId="166AEEDF" w14:textId="77777777" w:rsidR="00F86A3E" w:rsidRPr="00F86A3E" w:rsidRDefault="00F86A3E" w:rsidP="00F86A3E">
            <w:pPr>
              <w:spacing w:after="0" w:line="240" w:lineRule="auto"/>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Net Operating Revenues</w:t>
            </w:r>
          </w:p>
        </w:tc>
        <w:tc>
          <w:tcPr>
            <w:tcW w:w="960" w:type="dxa"/>
            <w:tcBorders>
              <w:top w:val="nil"/>
              <w:left w:val="nil"/>
              <w:bottom w:val="nil"/>
              <w:right w:val="nil"/>
            </w:tcBorders>
            <w:shd w:val="clear" w:color="000000" w:fill="CCEEFF"/>
            <w:vAlign w:val="bottom"/>
            <w:hideMark/>
          </w:tcPr>
          <w:p w14:paraId="1F5AAB45" w14:textId="77777777" w:rsidR="00F86A3E" w:rsidRPr="00F86A3E" w:rsidRDefault="00F86A3E" w:rsidP="00F86A3E">
            <w:pPr>
              <w:spacing w:after="0" w:line="240" w:lineRule="auto"/>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w:t>
            </w:r>
          </w:p>
        </w:tc>
        <w:tc>
          <w:tcPr>
            <w:tcW w:w="1160" w:type="dxa"/>
            <w:tcBorders>
              <w:top w:val="nil"/>
              <w:left w:val="nil"/>
              <w:bottom w:val="nil"/>
              <w:right w:val="nil"/>
            </w:tcBorders>
            <w:shd w:val="clear" w:color="000000" w:fill="CCEEFF"/>
            <w:vAlign w:val="bottom"/>
            <w:hideMark/>
          </w:tcPr>
          <w:p w14:paraId="746929C4"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38,655</w:t>
            </w:r>
          </w:p>
        </w:tc>
        <w:tc>
          <w:tcPr>
            <w:tcW w:w="1240" w:type="dxa"/>
            <w:tcBorders>
              <w:top w:val="nil"/>
              <w:left w:val="nil"/>
              <w:bottom w:val="nil"/>
              <w:right w:val="nil"/>
            </w:tcBorders>
            <w:shd w:val="clear" w:color="000000" w:fill="CCEEFF"/>
            <w:vAlign w:val="bottom"/>
            <w:hideMark/>
          </w:tcPr>
          <w:p w14:paraId="01742AC9"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100%</w:t>
            </w:r>
          </w:p>
        </w:tc>
        <w:tc>
          <w:tcPr>
            <w:tcW w:w="960" w:type="dxa"/>
            <w:tcBorders>
              <w:top w:val="nil"/>
              <w:left w:val="nil"/>
              <w:bottom w:val="nil"/>
              <w:right w:val="nil"/>
            </w:tcBorders>
            <w:shd w:val="clear" w:color="000000" w:fill="CCEEFF"/>
            <w:vAlign w:val="bottom"/>
            <w:hideMark/>
          </w:tcPr>
          <w:p w14:paraId="609A07C1" w14:textId="77777777" w:rsidR="00F86A3E" w:rsidRPr="00F86A3E" w:rsidRDefault="00F86A3E" w:rsidP="00F86A3E">
            <w:pPr>
              <w:spacing w:after="0" w:line="240" w:lineRule="auto"/>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w:t>
            </w:r>
          </w:p>
        </w:tc>
        <w:tc>
          <w:tcPr>
            <w:tcW w:w="960" w:type="dxa"/>
            <w:tcBorders>
              <w:top w:val="nil"/>
              <w:left w:val="nil"/>
              <w:bottom w:val="nil"/>
              <w:right w:val="nil"/>
            </w:tcBorders>
            <w:shd w:val="clear" w:color="000000" w:fill="CCEEFF"/>
            <w:vAlign w:val="bottom"/>
            <w:hideMark/>
          </w:tcPr>
          <w:p w14:paraId="102873CC"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33014</w:t>
            </w:r>
          </w:p>
        </w:tc>
        <w:tc>
          <w:tcPr>
            <w:tcW w:w="1240" w:type="dxa"/>
            <w:tcBorders>
              <w:top w:val="nil"/>
              <w:left w:val="nil"/>
              <w:bottom w:val="nil"/>
              <w:right w:val="nil"/>
            </w:tcBorders>
            <w:shd w:val="clear" w:color="000000" w:fill="CCEEFF"/>
            <w:vAlign w:val="bottom"/>
            <w:hideMark/>
          </w:tcPr>
          <w:p w14:paraId="7AEF21A3"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100%</w:t>
            </w:r>
          </w:p>
        </w:tc>
        <w:tc>
          <w:tcPr>
            <w:tcW w:w="960" w:type="dxa"/>
            <w:tcBorders>
              <w:top w:val="nil"/>
              <w:left w:val="nil"/>
              <w:bottom w:val="nil"/>
              <w:right w:val="nil"/>
            </w:tcBorders>
            <w:shd w:val="clear" w:color="000000" w:fill="CCEEFF"/>
            <w:vAlign w:val="bottom"/>
            <w:hideMark/>
          </w:tcPr>
          <w:p w14:paraId="42EA63D3" w14:textId="77777777" w:rsidR="00F86A3E" w:rsidRPr="00F86A3E" w:rsidRDefault="00F86A3E" w:rsidP="00F86A3E">
            <w:pPr>
              <w:spacing w:after="0" w:line="240" w:lineRule="auto"/>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 </w:t>
            </w:r>
          </w:p>
        </w:tc>
        <w:tc>
          <w:tcPr>
            <w:tcW w:w="1040" w:type="dxa"/>
            <w:tcBorders>
              <w:top w:val="nil"/>
              <w:left w:val="nil"/>
              <w:bottom w:val="nil"/>
              <w:right w:val="nil"/>
            </w:tcBorders>
            <w:shd w:val="clear" w:color="000000" w:fill="CCEEFF"/>
            <w:vAlign w:val="bottom"/>
            <w:hideMark/>
          </w:tcPr>
          <w:p w14:paraId="35046800"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37,266 </w:t>
            </w:r>
          </w:p>
        </w:tc>
        <w:tc>
          <w:tcPr>
            <w:tcW w:w="1100" w:type="dxa"/>
            <w:tcBorders>
              <w:top w:val="nil"/>
              <w:left w:val="nil"/>
              <w:bottom w:val="nil"/>
              <w:right w:val="nil"/>
            </w:tcBorders>
            <w:shd w:val="clear" w:color="000000" w:fill="CCEEFF"/>
            <w:vAlign w:val="bottom"/>
            <w:hideMark/>
          </w:tcPr>
          <w:p w14:paraId="05169362"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100%</w:t>
            </w:r>
          </w:p>
        </w:tc>
      </w:tr>
      <w:tr w:rsidR="00F86A3E" w:rsidRPr="00F86A3E" w14:paraId="460ADAE7" w14:textId="77777777" w:rsidTr="00F86A3E">
        <w:trPr>
          <w:trHeight w:val="300"/>
        </w:trPr>
        <w:tc>
          <w:tcPr>
            <w:tcW w:w="2880" w:type="dxa"/>
            <w:tcBorders>
              <w:top w:val="nil"/>
              <w:left w:val="nil"/>
              <w:bottom w:val="single" w:sz="8" w:space="0" w:color="000000"/>
              <w:right w:val="nil"/>
            </w:tcBorders>
            <w:shd w:val="clear" w:color="000000" w:fill="FFFFFF"/>
            <w:vAlign w:val="bottom"/>
            <w:hideMark/>
          </w:tcPr>
          <w:p w14:paraId="596884C9" w14:textId="77777777" w:rsidR="00F86A3E" w:rsidRPr="00F86A3E" w:rsidRDefault="00F86A3E" w:rsidP="00F86A3E">
            <w:pPr>
              <w:spacing w:after="0" w:line="240" w:lineRule="auto"/>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Cost of goods sold</w:t>
            </w:r>
          </w:p>
        </w:tc>
        <w:tc>
          <w:tcPr>
            <w:tcW w:w="2120" w:type="dxa"/>
            <w:gridSpan w:val="2"/>
            <w:tcBorders>
              <w:top w:val="nil"/>
              <w:left w:val="nil"/>
              <w:bottom w:val="single" w:sz="8" w:space="0" w:color="000000"/>
              <w:right w:val="nil"/>
            </w:tcBorders>
            <w:shd w:val="clear" w:color="000000" w:fill="FFFFFF"/>
            <w:vAlign w:val="bottom"/>
            <w:hideMark/>
          </w:tcPr>
          <w:p w14:paraId="19BAE5AB"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15,357</w:t>
            </w:r>
          </w:p>
        </w:tc>
        <w:tc>
          <w:tcPr>
            <w:tcW w:w="1240" w:type="dxa"/>
            <w:tcBorders>
              <w:top w:val="nil"/>
              <w:left w:val="nil"/>
              <w:bottom w:val="nil"/>
              <w:right w:val="nil"/>
            </w:tcBorders>
            <w:shd w:val="clear" w:color="000000" w:fill="FFFFFF"/>
            <w:vAlign w:val="bottom"/>
            <w:hideMark/>
          </w:tcPr>
          <w:p w14:paraId="32099203"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40%</w:t>
            </w:r>
          </w:p>
        </w:tc>
        <w:tc>
          <w:tcPr>
            <w:tcW w:w="1920" w:type="dxa"/>
            <w:gridSpan w:val="2"/>
            <w:tcBorders>
              <w:top w:val="nil"/>
              <w:left w:val="nil"/>
              <w:bottom w:val="single" w:sz="8" w:space="0" w:color="000000"/>
              <w:right w:val="nil"/>
            </w:tcBorders>
            <w:shd w:val="clear" w:color="000000" w:fill="FFFFFF"/>
            <w:vAlign w:val="bottom"/>
            <w:hideMark/>
          </w:tcPr>
          <w:p w14:paraId="34333C1B"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13433</w:t>
            </w:r>
          </w:p>
        </w:tc>
        <w:tc>
          <w:tcPr>
            <w:tcW w:w="1240" w:type="dxa"/>
            <w:tcBorders>
              <w:top w:val="nil"/>
              <w:left w:val="nil"/>
              <w:bottom w:val="nil"/>
              <w:right w:val="nil"/>
            </w:tcBorders>
            <w:shd w:val="clear" w:color="000000" w:fill="FFFFFF"/>
            <w:vAlign w:val="bottom"/>
            <w:hideMark/>
          </w:tcPr>
          <w:p w14:paraId="2C95A86F"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41%</w:t>
            </w:r>
          </w:p>
        </w:tc>
        <w:tc>
          <w:tcPr>
            <w:tcW w:w="2000" w:type="dxa"/>
            <w:gridSpan w:val="2"/>
            <w:tcBorders>
              <w:top w:val="nil"/>
              <w:left w:val="nil"/>
              <w:bottom w:val="single" w:sz="8" w:space="0" w:color="000000"/>
              <w:right w:val="nil"/>
            </w:tcBorders>
            <w:shd w:val="clear" w:color="000000" w:fill="FFFFFF"/>
            <w:vAlign w:val="bottom"/>
            <w:hideMark/>
          </w:tcPr>
          <w:p w14:paraId="046B6EE3"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14,619 </w:t>
            </w:r>
          </w:p>
        </w:tc>
        <w:tc>
          <w:tcPr>
            <w:tcW w:w="1100" w:type="dxa"/>
            <w:tcBorders>
              <w:top w:val="nil"/>
              <w:left w:val="nil"/>
              <w:bottom w:val="nil"/>
              <w:right w:val="nil"/>
            </w:tcBorders>
            <w:shd w:val="clear" w:color="000000" w:fill="FFFFFF"/>
            <w:vAlign w:val="bottom"/>
            <w:hideMark/>
          </w:tcPr>
          <w:p w14:paraId="2889B5A9"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39%</w:t>
            </w:r>
          </w:p>
        </w:tc>
      </w:tr>
      <w:tr w:rsidR="00F86A3E" w:rsidRPr="00F86A3E" w14:paraId="3D2C8044" w14:textId="77777777" w:rsidTr="00F86A3E">
        <w:trPr>
          <w:trHeight w:val="288"/>
        </w:trPr>
        <w:tc>
          <w:tcPr>
            <w:tcW w:w="2880" w:type="dxa"/>
            <w:tcBorders>
              <w:top w:val="single" w:sz="8" w:space="0" w:color="000000"/>
              <w:left w:val="nil"/>
              <w:bottom w:val="nil"/>
              <w:right w:val="nil"/>
            </w:tcBorders>
            <w:shd w:val="clear" w:color="000000" w:fill="CCEEFF"/>
            <w:vAlign w:val="bottom"/>
            <w:hideMark/>
          </w:tcPr>
          <w:p w14:paraId="297CA6D6" w14:textId="77777777" w:rsidR="00F86A3E" w:rsidRPr="00F86A3E" w:rsidRDefault="00F86A3E" w:rsidP="00F86A3E">
            <w:pPr>
              <w:spacing w:after="0" w:line="240" w:lineRule="auto"/>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Gross Profit</w:t>
            </w:r>
          </w:p>
        </w:tc>
        <w:tc>
          <w:tcPr>
            <w:tcW w:w="2120" w:type="dxa"/>
            <w:gridSpan w:val="2"/>
            <w:tcBorders>
              <w:top w:val="single" w:sz="8" w:space="0" w:color="000000"/>
              <w:left w:val="nil"/>
              <w:bottom w:val="nil"/>
              <w:right w:val="nil"/>
            </w:tcBorders>
            <w:shd w:val="clear" w:color="000000" w:fill="CCEEFF"/>
            <w:vAlign w:val="bottom"/>
            <w:hideMark/>
          </w:tcPr>
          <w:p w14:paraId="2E192E32"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23,298</w:t>
            </w:r>
          </w:p>
        </w:tc>
        <w:tc>
          <w:tcPr>
            <w:tcW w:w="1240" w:type="dxa"/>
            <w:tcBorders>
              <w:top w:val="single" w:sz="8" w:space="0" w:color="000000"/>
              <w:left w:val="nil"/>
              <w:bottom w:val="nil"/>
              <w:right w:val="nil"/>
            </w:tcBorders>
            <w:shd w:val="clear" w:color="000000" w:fill="CCEEFF"/>
            <w:vAlign w:val="bottom"/>
            <w:hideMark/>
          </w:tcPr>
          <w:p w14:paraId="170DEE76"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60%</w:t>
            </w:r>
          </w:p>
        </w:tc>
        <w:tc>
          <w:tcPr>
            <w:tcW w:w="1920" w:type="dxa"/>
            <w:gridSpan w:val="2"/>
            <w:tcBorders>
              <w:top w:val="single" w:sz="8" w:space="0" w:color="000000"/>
              <w:left w:val="nil"/>
              <w:bottom w:val="nil"/>
              <w:right w:val="nil"/>
            </w:tcBorders>
            <w:shd w:val="clear" w:color="000000" w:fill="CCEEFF"/>
            <w:vAlign w:val="bottom"/>
            <w:hideMark/>
          </w:tcPr>
          <w:p w14:paraId="0C81E47C"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19581</w:t>
            </w:r>
          </w:p>
        </w:tc>
        <w:tc>
          <w:tcPr>
            <w:tcW w:w="1240" w:type="dxa"/>
            <w:tcBorders>
              <w:top w:val="single" w:sz="8" w:space="0" w:color="000000"/>
              <w:left w:val="nil"/>
              <w:bottom w:val="nil"/>
              <w:right w:val="nil"/>
            </w:tcBorders>
            <w:shd w:val="clear" w:color="000000" w:fill="CCEEFF"/>
            <w:vAlign w:val="bottom"/>
            <w:hideMark/>
          </w:tcPr>
          <w:p w14:paraId="6E2724B0"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59%</w:t>
            </w:r>
          </w:p>
        </w:tc>
        <w:tc>
          <w:tcPr>
            <w:tcW w:w="2000" w:type="dxa"/>
            <w:gridSpan w:val="2"/>
            <w:tcBorders>
              <w:top w:val="single" w:sz="8" w:space="0" w:color="000000"/>
              <w:left w:val="nil"/>
              <w:bottom w:val="nil"/>
              <w:right w:val="nil"/>
            </w:tcBorders>
            <w:shd w:val="clear" w:color="000000" w:fill="CCEEFF"/>
            <w:vAlign w:val="bottom"/>
            <w:hideMark/>
          </w:tcPr>
          <w:p w14:paraId="6EB76441"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22,647 </w:t>
            </w:r>
          </w:p>
        </w:tc>
        <w:tc>
          <w:tcPr>
            <w:tcW w:w="1100" w:type="dxa"/>
            <w:tcBorders>
              <w:top w:val="single" w:sz="8" w:space="0" w:color="000000"/>
              <w:left w:val="nil"/>
              <w:bottom w:val="nil"/>
              <w:right w:val="nil"/>
            </w:tcBorders>
            <w:shd w:val="clear" w:color="000000" w:fill="CCEEFF"/>
            <w:vAlign w:val="bottom"/>
            <w:hideMark/>
          </w:tcPr>
          <w:p w14:paraId="0C8DF63F"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61%</w:t>
            </w:r>
          </w:p>
        </w:tc>
      </w:tr>
      <w:tr w:rsidR="00F86A3E" w:rsidRPr="00F86A3E" w14:paraId="16DFC360" w14:textId="77777777" w:rsidTr="00F86A3E">
        <w:trPr>
          <w:trHeight w:val="510"/>
        </w:trPr>
        <w:tc>
          <w:tcPr>
            <w:tcW w:w="2880" w:type="dxa"/>
            <w:tcBorders>
              <w:top w:val="nil"/>
              <w:left w:val="nil"/>
              <w:bottom w:val="nil"/>
              <w:right w:val="nil"/>
            </w:tcBorders>
            <w:shd w:val="clear" w:color="000000" w:fill="FFFFFF"/>
            <w:vAlign w:val="bottom"/>
            <w:hideMark/>
          </w:tcPr>
          <w:p w14:paraId="6F417F13" w14:textId="77777777" w:rsidR="00F86A3E" w:rsidRPr="00F86A3E" w:rsidRDefault="00F86A3E" w:rsidP="00F86A3E">
            <w:pPr>
              <w:spacing w:after="0" w:line="240" w:lineRule="auto"/>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Selling, general and administrative expenses</w:t>
            </w:r>
          </w:p>
        </w:tc>
        <w:tc>
          <w:tcPr>
            <w:tcW w:w="2120" w:type="dxa"/>
            <w:gridSpan w:val="2"/>
            <w:tcBorders>
              <w:top w:val="nil"/>
              <w:left w:val="nil"/>
              <w:bottom w:val="nil"/>
              <w:right w:val="nil"/>
            </w:tcBorders>
            <w:shd w:val="clear" w:color="000000" w:fill="FFFFFF"/>
            <w:vAlign w:val="bottom"/>
            <w:hideMark/>
          </w:tcPr>
          <w:p w14:paraId="3EB4FBF5"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12,144</w:t>
            </w:r>
          </w:p>
        </w:tc>
        <w:tc>
          <w:tcPr>
            <w:tcW w:w="1240" w:type="dxa"/>
            <w:tcBorders>
              <w:top w:val="nil"/>
              <w:left w:val="nil"/>
              <w:bottom w:val="nil"/>
              <w:right w:val="nil"/>
            </w:tcBorders>
            <w:shd w:val="clear" w:color="000000" w:fill="FFFFFF"/>
            <w:vAlign w:val="bottom"/>
            <w:hideMark/>
          </w:tcPr>
          <w:p w14:paraId="4032A9D0"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31%</w:t>
            </w:r>
          </w:p>
        </w:tc>
        <w:tc>
          <w:tcPr>
            <w:tcW w:w="1920" w:type="dxa"/>
            <w:gridSpan w:val="2"/>
            <w:tcBorders>
              <w:top w:val="nil"/>
              <w:left w:val="nil"/>
              <w:bottom w:val="nil"/>
              <w:right w:val="nil"/>
            </w:tcBorders>
            <w:shd w:val="clear" w:color="000000" w:fill="FFFFFF"/>
            <w:vAlign w:val="bottom"/>
            <w:hideMark/>
          </w:tcPr>
          <w:p w14:paraId="72A97929"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9731</w:t>
            </w:r>
          </w:p>
        </w:tc>
        <w:tc>
          <w:tcPr>
            <w:tcW w:w="1240" w:type="dxa"/>
            <w:tcBorders>
              <w:top w:val="nil"/>
              <w:left w:val="nil"/>
              <w:bottom w:val="nil"/>
              <w:right w:val="nil"/>
            </w:tcBorders>
            <w:shd w:val="clear" w:color="000000" w:fill="FFFFFF"/>
            <w:vAlign w:val="bottom"/>
            <w:hideMark/>
          </w:tcPr>
          <w:p w14:paraId="6A9A099C"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29%</w:t>
            </w:r>
          </w:p>
        </w:tc>
        <w:tc>
          <w:tcPr>
            <w:tcW w:w="2000" w:type="dxa"/>
            <w:gridSpan w:val="2"/>
            <w:tcBorders>
              <w:top w:val="nil"/>
              <w:left w:val="nil"/>
              <w:bottom w:val="nil"/>
              <w:right w:val="nil"/>
            </w:tcBorders>
            <w:shd w:val="clear" w:color="000000" w:fill="FFFFFF"/>
            <w:vAlign w:val="bottom"/>
            <w:hideMark/>
          </w:tcPr>
          <w:p w14:paraId="326F9F48"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12,103 </w:t>
            </w:r>
          </w:p>
        </w:tc>
        <w:tc>
          <w:tcPr>
            <w:tcW w:w="1100" w:type="dxa"/>
            <w:tcBorders>
              <w:top w:val="nil"/>
              <w:left w:val="nil"/>
              <w:bottom w:val="nil"/>
              <w:right w:val="nil"/>
            </w:tcBorders>
            <w:shd w:val="clear" w:color="000000" w:fill="FFFFFF"/>
            <w:vAlign w:val="bottom"/>
            <w:hideMark/>
          </w:tcPr>
          <w:p w14:paraId="7F3E5F6D"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32%</w:t>
            </w:r>
          </w:p>
        </w:tc>
      </w:tr>
      <w:tr w:rsidR="00F86A3E" w:rsidRPr="00F86A3E" w14:paraId="754B0817" w14:textId="77777777" w:rsidTr="00F86A3E">
        <w:trPr>
          <w:trHeight w:val="300"/>
        </w:trPr>
        <w:tc>
          <w:tcPr>
            <w:tcW w:w="2880" w:type="dxa"/>
            <w:tcBorders>
              <w:top w:val="nil"/>
              <w:left w:val="nil"/>
              <w:bottom w:val="single" w:sz="8" w:space="0" w:color="000000"/>
              <w:right w:val="nil"/>
            </w:tcBorders>
            <w:shd w:val="clear" w:color="000000" w:fill="CCEEFF"/>
            <w:vAlign w:val="bottom"/>
            <w:hideMark/>
          </w:tcPr>
          <w:p w14:paraId="2156E735" w14:textId="77777777" w:rsidR="00F86A3E" w:rsidRPr="00F86A3E" w:rsidRDefault="00F86A3E" w:rsidP="00F86A3E">
            <w:pPr>
              <w:spacing w:after="0" w:line="240" w:lineRule="auto"/>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Other operating charges</w:t>
            </w:r>
          </w:p>
        </w:tc>
        <w:tc>
          <w:tcPr>
            <w:tcW w:w="2120" w:type="dxa"/>
            <w:gridSpan w:val="2"/>
            <w:tcBorders>
              <w:top w:val="nil"/>
              <w:left w:val="nil"/>
              <w:bottom w:val="single" w:sz="8" w:space="0" w:color="000000"/>
              <w:right w:val="nil"/>
            </w:tcBorders>
            <w:shd w:val="clear" w:color="000000" w:fill="CCEEFF"/>
            <w:vAlign w:val="bottom"/>
            <w:hideMark/>
          </w:tcPr>
          <w:p w14:paraId="1DF0B1F9"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846</w:t>
            </w:r>
          </w:p>
        </w:tc>
        <w:tc>
          <w:tcPr>
            <w:tcW w:w="1240" w:type="dxa"/>
            <w:tcBorders>
              <w:top w:val="nil"/>
              <w:left w:val="nil"/>
              <w:bottom w:val="nil"/>
              <w:right w:val="nil"/>
            </w:tcBorders>
            <w:shd w:val="clear" w:color="000000" w:fill="CCEEFF"/>
            <w:vAlign w:val="bottom"/>
            <w:hideMark/>
          </w:tcPr>
          <w:p w14:paraId="35E86F81"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2%</w:t>
            </w:r>
          </w:p>
        </w:tc>
        <w:tc>
          <w:tcPr>
            <w:tcW w:w="1920" w:type="dxa"/>
            <w:gridSpan w:val="2"/>
            <w:tcBorders>
              <w:top w:val="nil"/>
              <w:left w:val="nil"/>
              <w:bottom w:val="single" w:sz="8" w:space="0" w:color="000000"/>
              <w:right w:val="nil"/>
            </w:tcBorders>
            <w:shd w:val="clear" w:color="000000" w:fill="CCEEFF"/>
            <w:vAlign w:val="bottom"/>
            <w:hideMark/>
          </w:tcPr>
          <w:p w14:paraId="310A7DBB"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853</w:t>
            </w:r>
          </w:p>
        </w:tc>
        <w:tc>
          <w:tcPr>
            <w:tcW w:w="1240" w:type="dxa"/>
            <w:tcBorders>
              <w:top w:val="nil"/>
              <w:left w:val="nil"/>
              <w:bottom w:val="nil"/>
              <w:right w:val="nil"/>
            </w:tcBorders>
            <w:shd w:val="clear" w:color="000000" w:fill="CCEEFF"/>
            <w:vAlign w:val="bottom"/>
            <w:hideMark/>
          </w:tcPr>
          <w:p w14:paraId="7A864EEA"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3%</w:t>
            </w:r>
          </w:p>
        </w:tc>
        <w:tc>
          <w:tcPr>
            <w:tcW w:w="2000" w:type="dxa"/>
            <w:gridSpan w:val="2"/>
            <w:tcBorders>
              <w:top w:val="nil"/>
              <w:left w:val="nil"/>
              <w:bottom w:val="single" w:sz="8" w:space="0" w:color="000000"/>
              <w:right w:val="nil"/>
            </w:tcBorders>
            <w:shd w:val="clear" w:color="000000" w:fill="CCEEFF"/>
            <w:vAlign w:val="bottom"/>
            <w:hideMark/>
          </w:tcPr>
          <w:p w14:paraId="0D8E5B00"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458 </w:t>
            </w:r>
          </w:p>
        </w:tc>
        <w:tc>
          <w:tcPr>
            <w:tcW w:w="1100" w:type="dxa"/>
            <w:tcBorders>
              <w:top w:val="nil"/>
              <w:left w:val="nil"/>
              <w:bottom w:val="nil"/>
              <w:right w:val="nil"/>
            </w:tcBorders>
            <w:shd w:val="clear" w:color="000000" w:fill="CCEEFF"/>
            <w:vAlign w:val="bottom"/>
            <w:hideMark/>
          </w:tcPr>
          <w:p w14:paraId="2945C95F"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1%</w:t>
            </w:r>
          </w:p>
        </w:tc>
      </w:tr>
      <w:tr w:rsidR="00F86A3E" w:rsidRPr="00F86A3E" w14:paraId="7F76F623" w14:textId="77777777" w:rsidTr="00F86A3E">
        <w:trPr>
          <w:trHeight w:val="288"/>
        </w:trPr>
        <w:tc>
          <w:tcPr>
            <w:tcW w:w="2880" w:type="dxa"/>
            <w:tcBorders>
              <w:top w:val="single" w:sz="8" w:space="0" w:color="000000"/>
              <w:left w:val="nil"/>
              <w:bottom w:val="nil"/>
              <w:right w:val="nil"/>
            </w:tcBorders>
            <w:shd w:val="clear" w:color="000000" w:fill="FFFFFF"/>
            <w:vAlign w:val="bottom"/>
            <w:hideMark/>
          </w:tcPr>
          <w:p w14:paraId="5A825E9A" w14:textId="77777777" w:rsidR="00F86A3E" w:rsidRPr="00F86A3E" w:rsidRDefault="00F86A3E" w:rsidP="00F86A3E">
            <w:pPr>
              <w:spacing w:after="0" w:line="240" w:lineRule="auto"/>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Operating Income</w:t>
            </w:r>
          </w:p>
        </w:tc>
        <w:tc>
          <w:tcPr>
            <w:tcW w:w="2120" w:type="dxa"/>
            <w:gridSpan w:val="2"/>
            <w:tcBorders>
              <w:top w:val="single" w:sz="8" w:space="0" w:color="000000"/>
              <w:left w:val="nil"/>
              <w:bottom w:val="nil"/>
              <w:right w:val="nil"/>
            </w:tcBorders>
            <w:shd w:val="clear" w:color="000000" w:fill="FFFFFF"/>
            <w:vAlign w:val="bottom"/>
            <w:hideMark/>
          </w:tcPr>
          <w:p w14:paraId="56742AB6"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10,308</w:t>
            </w:r>
          </w:p>
        </w:tc>
        <w:tc>
          <w:tcPr>
            <w:tcW w:w="1240" w:type="dxa"/>
            <w:tcBorders>
              <w:top w:val="single" w:sz="8" w:space="0" w:color="000000"/>
              <w:left w:val="nil"/>
              <w:bottom w:val="nil"/>
              <w:right w:val="nil"/>
            </w:tcBorders>
            <w:shd w:val="clear" w:color="000000" w:fill="FFFFFF"/>
            <w:vAlign w:val="bottom"/>
            <w:hideMark/>
          </w:tcPr>
          <w:p w14:paraId="4197701E" w14:textId="77777777" w:rsidR="00F86A3E" w:rsidRPr="00F86A3E" w:rsidRDefault="00F86A3E" w:rsidP="00F86A3E">
            <w:pPr>
              <w:spacing w:after="0" w:line="240" w:lineRule="auto"/>
              <w:jc w:val="right"/>
              <w:rPr>
                <w:rFonts w:ascii="Times New Roman" w:eastAsia="Times New Roman" w:hAnsi="Times New Roman" w:cs="Times New Roman"/>
                <w:b/>
                <w:bCs/>
                <w:color w:val="000000"/>
                <w:sz w:val="20"/>
                <w:szCs w:val="20"/>
              </w:rPr>
            </w:pPr>
            <w:r w:rsidRPr="00F86A3E">
              <w:rPr>
                <w:rFonts w:ascii="Times New Roman" w:eastAsia="Times New Roman" w:hAnsi="Times New Roman" w:cs="Times New Roman"/>
                <w:b/>
                <w:bCs/>
                <w:color w:val="000000"/>
                <w:sz w:val="20"/>
                <w:szCs w:val="20"/>
              </w:rPr>
              <w:t>27%</w:t>
            </w:r>
          </w:p>
        </w:tc>
        <w:tc>
          <w:tcPr>
            <w:tcW w:w="1920" w:type="dxa"/>
            <w:gridSpan w:val="2"/>
            <w:tcBorders>
              <w:top w:val="single" w:sz="8" w:space="0" w:color="000000"/>
              <w:left w:val="nil"/>
              <w:bottom w:val="nil"/>
              <w:right w:val="nil"/>
            </w:tcBorders>
            <w:shd w:val="clear" w:color="000000" w:fill="FFFFFF"/>
            <w:vAlign w:val="bottom"/>
            <w:hideMark/>
          </w:tcPr>
          <w:p w14:paraId="69B50D3B"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8997</w:t>
            </w:r>
          </w:p>
        </w:tc>
        <w:tc>
          <w:tcPr>
            <w:tcW w:w="1240" w:type="dxa"/>
            <w:tcBorders>
              <w:top w:val="single" w:sz="8" w:space="0" w:color="000000"/>
              <w:left w:val="nil"/>
              <w:bottom w:val="nil"/>
              <w:right w:val="nil"/>
            </w:tcBorders>
            <w:shd w:val="clear" w:color="000000" w:fill="FFFFFF"/>
            <w:vAlign w:val="bottom"/>
            <w:hideMark/>
          </w:tcPr>
          <w:p w14:paraId="61C98492"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27%</w:t>
            </w:r>
          </w:p>
        </w:tc>
        <w:tc>
          <w:tcPr>
            <w:tcW w:w="2000" w:type="dxa"/>
            <w:gridSpan w:val="2"/>
            <w:tcBorders>
              <w:top w:val="single" w:sz="8" w:space="0" w:color="000000"/>
              <w:left w:val="nil"/>
              <w:bottom w:val="nil"/>
              <w:right w:val="nil"/>
            </w:tcBorders>
            <w:shd w:val="clear" w:color="000000" w:fill="FFFFFF"/>
            <w:vAlign w:val="bottom"/>
            <w:hideMark/>
          </w:tcPr>
          <w:p w14:paraId="0AEFC3B6" w14:textId="77777777" w:rsidR="00F86A3E" w:rsidRPr="00F86A3E" w:rsidRDefault="00F86A3E" w:rsidP="00F86A3E">
            <w:pPr>
              <w:spacing w:after="0" w:line="240" w:lineRule="auto"/>
              <w:jc w:val="right"/>
              <w:rPr>
                <w:rFonts w:ascii="Times New Roman" w:eastAsia="Times New Roman" w:hAnsi="Times New Roman" w:cs="Times New Roman"/>
                <w:color w:val="000000"/>
                <w:sz w:val="20"/>
                <w:szCs w:val="20"/>
              </w:rPr>
            </w:pPr>
            <w:r w:rsidRPr="00F86A3E">
              <w:rPr>
                <w:rFonts w:ascii="Times New Roman" w:eastAsia="Times New Roman" w:hAnsi="Times New Roman" w:cs="Times New Roman"/>
                <w:color w:val="000000"/>
                <w:sz w:val="20"/>
                <w:szCs w:val="20"/>
              </w:rPr>
              <w:t xml:space="preserve">                          10,086 </w:t>
            </w:r>
          </w:p>
        </w:tc>
        <w:tc>
          <w:tcPr>
            <w:tcW w:w="1100" w:type="dxa"/>
            <w:tcBorders>
              <w:top w:val="single" w:sz="8" w:space="0" w:color="000000"/>
              <w:left w:val="nil"/>
              <w:bottom w:val="nil"/>
              <w:right w:val="nil"/>
            </w:tcBorders>
            <w:shd w:val="clear" w:color="000000" w:fill="FFFFFF"/>
            <w:vAlign w:val="bottom"/>
            <w:hideMark/>
          </w:tcPr>
          <w:p w14:paraId="2B33DB76" w14:textId="77777777" w:rsidR="00F86A3E" w:rsidRPr="00F86A3E" w:rsidRDefault="00F86A3E" w:rsidP="00F86A3E">
            <w:pPr>
              <w:spacing w:after="0" w:line="240" w:lineRule="auto"/>
              <w:jc w:val="right"/>
              <w:rPr>
                <w:rFonts w:ascii="Times New Roman" w:eastAsia="Times New Roman" w:hAnsi="Times New Roman" w:cs="Times New Roman"/>
                <w:color w:val="000000"/>
              </w:rPr>
            </w:pPr>
            <w:r w:rsidRPr="00F86A3E">
              <w:rPr>
                <w:rFonts w:ascii="Times New Roman" w:eastAsia="Times New Roman" w:hAnsi="Times New Roman" w:cs="Times New Roman"/>
                <w:color w:val="000000"/>
              </w:rPr>
              <w:t>27%</w:t>
            </w:r>
          </w:p>
        </w:tc>
      </w:tr>
    </w:tbl>
    <w:p w14:paraId="067144D3" w14:textId="77777777" w:rsidR="00F86A3E" w:rsidRPr="00F86A3E" w:rsidRDefault="00F86A3E" w:rsidP="00F86A3E">
      <w:pPr>
        <w:rPr>
          <w:rFonts w:ascii="Times New Roman" w:hAnsi="Times New Roman" w:cs="Times New Roman"/>
          <w:sz w:val="24"/>
          <w:szCs w:val="24"/>
        </w:rPr>
      </w:pPr>
    </w:p>
    <w:p w14:paraId="1028A751" w14:textId="254DFFCF" w:rsidR="004A5E7B" w:rsidRDefault="00E45C61">
      <w:pPr>
        <w:rPr>
          <w:rFonts w:ascii="Times New Roman" w:hAnsi="Times New Roman" w:cs="Times New Roman"/>
          <w:sz w:val="24"/>
          <w:szCs w:val="24"/>
        </w:rPr>
      </w:pPr>
      <w:r>
        <w:rPr>
          <w:rFonts w:ascii="Times New Roman" w:hAnsi="Times New Roman" w:cs="Times New Roman"/>
          <w:sz w:val="24"/>
          <w:szCs w:val="24"/>
        </w:rPr>
        <w:t>While sales have</w:t>
      </w:r>
      <w:r w:rsidR="00F86A3E">
        <w:rPr>
          <w:rFonts w:ascii="Times New Roman" w:hAnsi="Times New Roman" w:cs="Times New Roman"/>
          <w:sz w:val="24"/>
          <w:szCs w:val="24"/>
        </w:rPr>
        <w:t xml:space="preserve"> overall</w:t>
      </w:r>
      <w:r>
        <w:rPr>
          <w:rFonts w:ascii="Times New Roman" w:hAnsi="Times New Roman" w:cs="Times New Roman"/>
          <w:sz w:val="24"/>
          <w:szCs w:val="24"/>
        </w:rPr>
        <w:t xml:space="preserve"> increased</w:t>
      </w:r>
      <w:r w:rsidR="00F86A3E">
        <w:rPr>
          <w:rFonts w:ascii="Times New Roman" w:hAnsi="Times New Roman" w:cs="Times New Roman"/>
          <w:sz w:val="24"/>
          <w:szCs w:val="24"/>
        </w:rPr>
        <w:t xml:space="preserve"> from FY 2020, </w:t>
      </w:r>
      <w:r w:rsidR="004A5E7B">
        <w:rPr>
          <w:rFonts w:ascii="Times New Roman" w:hAnsi="Times New Roman" w:cs="Times New Roman"/>
          <w:sz w:val="24"/>
          <w:szCs w:val="24"/>
        </w:rPr>
        <w:t xml:space="preserve">KO leadership lamented that </w:t>
      </w:r>
      <w:r w:rsidR="00F86A3E">
        <w:rPr>
          <w:rFonts w:ascii="Times New Roman" w:hAnsi="Times New Roman" w:cs="Times New Roman"/>
          <w:sz w:val="24"/>
          <w:szCs w:val="24"/>
        </w:rPr>
        <w:t>operating revenues were</w:t>
      </w:r>
      <w:r w:rsidR="00BB1401">
        <w:rPr>
          <w:rFonts w:ascii="Times New Roman" w:hAnsi="Times New Roman" w:cs="Times New Roman"/>
          <w:sz w:val="24"/>
          <w:szCs w:val="24"/>
        </w:rPr>
        <w:t xml:space="preserve"> impacted by COVID lockdown</w:t>
      </w:r>
      <w:r w:rsidR="00F86A3E">
        <w:rPr>
          <w:rFonts w:ascii="Times New Roman" w:hAnsi="Times New Roman" w:cs="Times New Roman"/>
          <w:sz w:val="24"/>
          <w:szCs w:val="24"/>
        </w:rPr>
        <w:t xml:space="preserve"> </w:t>
      </w:r>
      <w:r w:rsidR="004A5E7B">
        <w:rPr>
          <w:rFonts w:ascii="Times New Roman" w:hAnsi="Times New Roman" w:cs="Times New Roman"/>
          <w:sz w:val="24"/>
          <w:szCs w:val="24"/>
        </w:rPr>
        <w:t>policies enacted by foreign governments to contain infection amongst their populace</w:t>
      </w:r>
      <w:r w:rsidR="005E1FB0">
        <w:rPr>
          <w:rFonts w:ascii="Times New Roman" w:hAnsi="Times New Roman" w:cs="Times New Roman"/>
          <w:sz w:val="24"/>
          <w:szCs w:val="24"/>
        </w:rPr>
        <w:t xml:space="preserve">. KO operates in over 200 foreign countries, each with their lockdown policies. 69% of revenues from FY 2021 came from foreign sales. </w:t>
      </w:r>
      <w:r w:rsidR="006C3517">
        <w:rPr>
          <w:rFonts w:ascii="Times New Roman" w:hAnsi="Times New Roman" w:cs="Times New Roman"/>
          <w:sz w:val="24"/>
          <w:szCs w:val="24"/>
        </w:rPr>
        <w:t xml:space="preserve">Manufacturing costs increased and supply chain vendors faced credit crunches and bankruptcy that KO cannot control. </w:t>
      </w:r>
      <w:r w:rsidR="001D520B">
        <w:rPr>
          <w:rFonts w:ascii="Times New Roman" w:hAnsi="Times New Roman" w:cs="Times New Roman"/>
          <w:sz w:val="24"/>
          <w:szCs w:val="24"/>
        </w:rPr>
        <w:t xml:space="preserve">KO sends </w:t>
      </w:r>
      <w:r w:rsidR="00643C92">
        <w:rPr>
          <w:rFonts w:ascii="Times New Roman" w:hAnsi="Times New Roman" w:cs="Times New Roman"/>
          <w:sz w:val="24"/>
          <w:szCs w:val="24"/>
        </w:rPr>
        <w:t xml:space="preserve">concentrate </w:t>
      </w:r>
      <w:r w:rsidR="001D520B">
        <w:rPr>
          <w:rFonts w:ascii="Times New Roman" w:hAnsi="Times New Roman" w:cs="Times New Roman"/>
          <w:sz w:val="24"/>
          <w:szCs w:val="24"/>
        </w:rPr>
        <w:t>products to independent bottlers</w:t>
      </w:r>
      <w:r w:rsidR="00643C92">
        <w:rPr>
          <w:rFonts w:ascii="Times New Roman" w:hAnsi="Times New Roman" w:cs="Times New Roman"/>
          <w:sz w:val="24"/>
          <w:szCs w:val="24"/>
        </w:rPr>
        <w:t xml:space="preserve"> for bottling</w:t>
      </w:r>
      <w:r w:rsidR="001D520B">
        <w:rPr>
          <w:rFonts w:ascii="Times New Roman" w:hAnsi="Times New Roman" w:cs="Times New Roman"/>
          <w:sz w:val="24"/>
          <w:szCs w:val="24"/>
        </w:rPr>
        <w:t xml:space="preserve">. </w:t>
      </w:r>
      <w:r w:rsidR="0090081F">
        <w:rPr>
          <w:rFonts w:ascii="Times New Roman" w:hAnsi="Times New Roman" w:cs="Times New Roman"/>
          <w:sz w:val="24"/>
          <w:szCs w:val="24"/>
        </w:rPr>
        <w:t xml:space="preserve">To get around vendor constraints, KO seeks to gain controlling interest within vendors </w:t>
      </w:r>
      <w:r w:rsidR="00326F9E">
        <w:rPr>
          <w:rFonts w:ascii="Times New Roman" w:hAnsi="Times New Roman" w:cs="Times New Roman"/>
          <w:sz w:val="24"/>
          <w:szCs w:val="24"/>
        </w:rPr>
        <w:t>in the supply chain (especially in bottling partners) they feel adds to their overall valuation.</w:t>
      </w:r>
      <w:r w:rsidR="0050792F">
        <w:rPr>
          <w:rFonts w:ascii="Times New Roman" w:hAnsi="Times New Roman" w:cs="Times New Roman"/>
          <w:sz w:val="24"/>
          <w:szCs w:val="24"/>
        </w:rPr>
        <w:t xml:space="preserve"> And then restructuring their corporate governance into a single channel across all subsidiaries.</w:t>
      </w:r>
      <w:r w:rsidR="00D64B4C">
        <w:rPr>
          <w:rFonts w:ascii="Times New Roman" w:hAnsi="Times New Roman" w:cs="Times New Roman"/>
          <w:sz w:val="24"/>
          <w:szCs w:val="24"/>
        </w:rPr>
        <w:t xml:space="preserve"> </w:t>
      </w:r>
      <w:r w:rsidR="00643C92">
        <w:rPr>
          <w:rFonts w:ascii="Times New Roman" w:hAnsi="Times New Roman" w:cs="Times New Roman"/>
          <w:sz w:val="24"/>
          <w:szCs w:val="24"/>
        </w:rPr>
        <w:t xml:space="preserve">Because they control bottler and vendors, they express sales volume as “Unit Case Sales” </w:t>
      </w:r>
      <w:r w:rsidR="00D64B4C">
        <w:rPr>
          <w:rFonts w:ascii="Times New Roman" w:hAnsi="Times New Roman" w:cs="Times New Roman"/>
          <w:sz w:val="24"/>
          <w:szCs w:val="24"/>
        </w:rPr>
        <w:t xml:space="preserve">KO managers emphasized that there was no material impact from these lockdowns, especially not on domestic sales. KO managers are more focused on foreign sales and brand dominance v. domestic. </w:t>
      </w:r>
      <w:r w:rsidR="00326F9E">
        <w:rPr>
          <w:rFonts w:ascii="Times New Roman" w:hAnsi="Times New Roman" w:cs="Times New Roman"/>
          <w:sz w:val="24"/>
          <w:szCs w:val="24"/>
        </w:rPr>
        <w:t xml:space="preserve"> </w:t>
      </w:r>
      <w:r w:rsidR="001D520B">
        <w:rPr>
          <w:rFonts w:ascii="Times New Roman" w:hAnsi="Times New Roman" w:cs="Times New Roman"/>
          <w:sz w:val="24"/>
          <w:szCs w:val="24"/>
        </w:rPr>
        <w:t xml:space="preserve">Other considerations focus on seasonality of demand and foreign exchange rates. </w:t>
      </w:r>
    </w:p>
    <w:p w14:paraId="302BB8BC" w14:textId="04E5E47C" w:rsidR="004A5E7B" w:rsidRDefault="006C3517">
      <w:pPr>
        <w:rPr>
          <w:rFonts w:ascii="Times New Roman" w:hAnsi="Times New Roman" w:cs="Times New Roman"/>
          <w:sz w:val="24"/>
          <w:szCs w:val="24"/>
        </w:rPr>
      </w:pPr>
      <w:r>
        <w:rPr>
          <w:rFonts w:ascii="Times New Roman" w:hAnsi="Times New Roman" w:cs="Times New Roman"/>
          <w:sz w:val="24"/>
          <w:szCs w:val="24"/>
        </w:rPr>
        <w:t>KO’s products are very diversified, and 61% of FY 2021 came from their diversified offerings, and not their core soda products.</w:t>
      </w:r>
      <w:r w:rsidR="005E1FB0">
        <w:rPr>
          <w:rFonts w:ascii="Times New Roman" w:hAnsi="Times New Roman" w:cs="Times New Roman"/>
          <w:sz w:val="24"/>
          <w:szCs w:val="24"/>
        </w:rPr>
        <w:t xml:space="preserve"> Because of the lockdowns, a</w:t>
      </w:r>
      <w:r w:rsidR="005E1FB0">
        <w:rPr>
          <w:rFonts w:ascii="Times New Roman" w:hAnsi="Times New Roman" w:cs="Times New Roman"/>
          <w:sz w:val="24"/>
          <w:szCs w:val="24"/>
        </w:rPr>
        <w:t xml:space="preserve">vailability of ingredient materials </w:t>
      </w:r>
      <w:r w:rsidR="005E1FB0">
        <w:rPr>
          <w:rFonts w:ascii="Times New Roman" w:hAnsi="Times New Roman" w:cs="Times New Roman"/>
          <w:sz w:val="24"/>
          <w:szCs w:val="24"/>
        </w:rPr>
        <w:t xml:space="preserve">for these alternative products </w:t>
      </w:r>
      <w:r w:rsidR="005E1FB0">
        <w:rPr>
          <w:rFonts w:ascii="Times New Roman" w:hAnsi="Times New Roman" w:cs="Times New Roman"/>
          <w:sz w:val="24"/>
          <w:szCs w:val="24"/>
        </w:rPr>
        <w:t>became hard-to-come-by and costly.</w:t>
      </w:r>
      <w:r w:rsidR="005E1FB0">
        <w:rPr>
          <w:rFonts w:ascii="Times New Roman" w:hAnsi="Times New Roman" w:cs="Times New Roman"/>
          <w:sz w:val="24"/>
          <w:szCs w:val="24"/>
        </w:rPr>
        <w:t xml:space="preserve"> Additionally, overall demand for their core soda </w:t>
      </w:r>
      <w:r w:rsidR="0090081F">
        <w:rPr>
          <w:rFonts w:ascii="Times New Roman" w:hAnsi="Times New Roman" w:cs="Times New Roman"/>
          <w:sz w:val="24"/>
          <w:szCs w:val="24"/>
        </w:rPr>
        <w:t xml:space="preserve">product </w:t>
      </w:r>
      <w:r w:rsidR="005E1FB0">
        <w:rPr>
          <w:rFonts w:ascii="Times New Roman" w:hAnsi="Times New Roman" w:cs="Times New Roman"/>
          <w:sz w:val="24"/>
          <w:szCs w:val="24"/>
        </w:rPr>
        <w:t xml:space="preserve">is in a downward trend. </w:t>
      </w:r>
      <w:r w:rsidR="0090081F">
        <w:rPr>
          <w:rFonts w:ascii="Times New Roman" w:hAnsi="Times New Roman" w:cs="Times New Roman"/>
          <w:sz w:val="24"/>
          <w:szCs w:val="24"/>
        </w:rPr>
        <w:t>The current</w:t>
      </w:r>
      <w:r>
        <w:rPr>
          <w:rFonts w:ascii="Times New Roman" w:hAnsi="Times New Roman" w:cs="Times New Roman"/>
          <w:sz w:val="24"/>
          <w:szCs w:val="24"/>
        </w:rPr>
        <w:t xml:space="preserve"> social climate with a focus on lowering the obesity rate</w:t>
      </w:r>
      <w:r w:rsidR="005E1FB0">
        <w:rPr>
          <w:rFonts w:ascii="Times New Roman" w:hAnsi="Times New Roman" w:cs="Times New Roman"/>
          <w:sz w:val="24"/>
          <w:szCs w:val="24"/>
        </w:rPr>
        <w:t xml:space="preserve"> and environmental impact in manufacturing have increased costs. KO has subscribed to the ESG metric (Environmental,</w:t>
      </w:r>
      <w:r w:rsidR="0090081F">
        <w:rPr>
          <w:rFonts w:ascii="Times New Roman" w:hAnsi="Times New Roman" w:cs="Times New Roman"/>
          <w:sz w:val="24"/>
          <w:szCs w:val="24"/>
        </w:rPr>
        <w:t xml:space="preserve"> Social, &amp; Corporate Governance). The assertion being that product demand can be increased if KO presents and achieves </w:t>
      </w:r>
      <w:r w:rsidR="00326F9E">
        <w:rPr>
          <w:rFonts w:ascii="Times New Roman" w:hAnsi="Times New Roman" w:cs="Times New Roman"/>
          <w:sz w:val="24"/>
          <w:szCs w:val="24"/>
        </w:rPr>
        <w:t xml:space="preserve">a social responsibility benchmark that will entice consumer confidence in their products. </w:t>
      </w:r>
      <w:r w:rsidR="004C675F">
        <w:rPr>
          <w:rFonts w:ascii="Times New Roman" w:hAnsi="Times New Roman" w:cs="Times New Roman"/>
          <w:sz w:val="24"/>
          <w:szCs w:val="24"/>
        </w:rPr>
        <w:t xml:space="preserve">In most foreign </w:t>
      </w:r>
      <w:r w:rsidR="0050792F">
        <w:rPr>
          <w:rFonts w:ascii="Times New Roman" w:hAnsi="Times New Roman" w:cs="Times New Roman"/>
          <w:sz w:val="24"/>
          <w:szCs w:val="24"/>
        </w:rPr>
        <w:t xml:space="preserve">countries, local </w:t>
      </w:r>
      <w:r w:rsidR="004C675F">
        <w:rPr>
          <w:rFonts w:ascii="Times New Roman" w:hAnsi="Times New Roman" w:cs="Times New Roman"/>
          <w:sz w:val="24"/>
          <w:szCs w:val="24"/>
        </w:rPr>
        <w:t xml:space="preserve">customers embrace social responsibility-centered consumer behavior. </w:t>
      </w:r>
      <w:r w:rsidR="00326F9E">
        <w:rPr>
          <w:rFonts w:ascii="Times New Roman" w:hAnsi="Times New Roman" w:cs="Times New Roman"/>
          <w:sz w:val="24"/>
          <w:szCs w:val="24"/>
        </w:rPr>
        <w:t>Also, ESG achievements will drive access to investment and sustained creditworthiness for operational funding. What this means is tha</w:t>
      </w:r>
      <w:r w:rsidR="0050792F">
        <w:rPr>
          <w:rFonts w:ascii="Times New Roman" w:hAnsi="Times New Roman" w:cs="Times New Roman"/>
          <w:sz w:val="24"/>
          <w:szCs w:val="24"/>
        </w:rPr>
        <w:t xml:space="preserve">t KO </w:t>
      </w:r>
      <w:r w:rsidR="00326F9E">
        <w:rPr>
          <w:rFonts w:ascii="Times New Roman" w:hAnsi="Times New Roman" w:cs="Times New Roman"/>
          <w:sz w:val="24"/>
          <w:szCs w:val="24"/>
        </w:rPr>
        <w:t xml:space="preserve">management is investing </w:t>
      </w:r>
      <w:r w:rsidR="0050792F">
        <w:rPr>
          <w:rFonts w:ascii="Times New Roman" w:hAnsi="Times New Roman" w:cs="Times New Roman"/>
          <w:sz w:val="24"/>
          <w:szCs w:val="24"/>
        </w:rPr>
        <w:t>in</w:t>
      </w:r>
      <w:r w:rsidR="00326F9E">
        <w:rPr>
          <w:rFonts w:ascii="Times New Roman" w:hAnsi="Times New Roman" w:cs="Times New Roman"/>
          <w:sz w:val="24"/>
          <w:szCs w:val="24"/>
        </w:rPr>
        <w:t xml:space="preserve"> the products of their subsidiary brands. Changing product lines to offer low serving </w:t>
      </w:r>
      <w:r w:rsidR="0050792F">
        <w:rPr>
          <w:rFonts w:ascii="Times New Roman" w:hAnsi="Times New Roman" w:cs="Times New Roman"/>
          <w:sz w:val="24"/>
          <w:szCs w:val="24"/>
        </w:rPr>
        <w:t>sizes, low</w:t>
      </w:r>
      <w:r w:rsidR="00326F9E">
        <w:rPr>
          <w:rFonts w:ascii="Times New Roman" w:hAnsi="Times New Roman" w:cs="Times New Roman"/>
          <w:sz w:val="24"/>
          <w:szCs w:val="24"/>
        </w:rPr>
        <w:t xml:space="preserve">-calorie, and health-centered </w:t>
      </w:r>
      <w:r w:rsidR="00326F9E">
        <w:rPr>
          <w:rFonts w:ascii="Times New Roman" w:hAnsi="Times New Roman" w:cs="Times New Roman"/>
          <w:sz w:val="24"/>
          <w:szCs w:val="24"/>
        </w:rPr>
        <w:lastRenderedPageBreak/>
        <w:t xml:space="preserve">consumables. </w:t>
      </w:r>
      <w:r w:rsidR="0050792F">
        <w:rPr>
          <w:rFonts w:ascii="Times New Roman" w:hAnsi="Times New Roman" w:cs="Times New Roman"/>
          <w:sz w:val="24"/>
          <w:szCs w:val="24"/>
        </w:rPr>
        <w:t xml:space="preserve">Restrictive advertising campaigns away from children. </w:t>
      </w:r>
      <w:r w:rsidR="00464E59">
        <w:rPr>
          <w:rFonts w:ascii="Times New Roman" w:hAnsi="Times New Roman" w:cs="Times New Roman"/>
          <w:sz w:val="24"/>
          <w:szCs w:val="24"/>
        </w:rPr>
        <w:t>But KO emphasized it is difficult making a favorable product without low-cost syrups, chemicals, and sugars to achieve th</w:t>
      </w:r>
      <w:r w:rsidR="001D520B">
        <w:rPr>
          <w:rFonts w:ascii="Times New Roman" w:hAnsi="Times New Roman" w:cs="Times New Roman"/>
          <w:sz w:val="24"/>
          <w:szCs w:val="24"/>
        </w:rPr>
        <w:t xml:space="preserve">ose health preferences at the same cost. </w:t>
      </w:r>
    </w:p>
    <w:p w14:paraId="25A40360" w14:textId="42463FFE" w:rsidR="00F86A3E" w:rsidRDefault="0050792F">
      <w:pPr>
        <w:rPr>
          <w:rFonts w:ascii="Times New Roman" w:hAnsi="Times New Roman" w:cs="Times New Roman"/>
          <w:sz w:val="24"/>
          <w:szCs w:val="24"/>
        </w:rPr>
      </w:pPr>
      <w:r>
        <w:rPr>
          <w:rFonts w:ascii="Times New Roman" w:hAnsi="Times New Roman" w:cs="Times New Roman"/>
          <w:sz w:val="24"/>
          <w:szCs w:val="24"/>
        </w:rPr>
        <w:t xml:space="preserve">Finally, KO management laments that COVID lockdowns changed consumer buying preferences to what they refer to as “at-home” consumption and not “away-from-home” consumption. Restaurants have been closed or limited operating hours. Travel bans and other considerations have led people to use Amazon, food delivery, and e-commerce services to buy products. These services limit the scope of KO to reach new customers. KO management is investing in developing their online sales platforms to get product and product recognition directly to base consumers that are used to the convenience of online shopping.  </w:t>
      </w:r>
    </w:p>
    <w:p w14:paraId="50211FE0" w14:textId="21D0C033" w:rsidR="00F86A3E" w:rsidRDefault="00F86A3E">
      <w:pPr>
        <w:rPr>
          <w:rFonts w:ascii="Times New Roman" w:hAnsi="Times New Roman" w:cs="Times New Roman"/>
          <w:sz w:val="24"/>
          <w:szCs w:val="24"/>
        </w:rPr>
      </w:pPr>
    </w:p>
    <w:p w14:paraId="606A269D" w14:textId="0555B578" w:rsidR="00F86A3E" w:rsidRPr="00F86A3E" w:rsidRDefault="00F86A3E" w:rsidP="00F86A3E">
      <w:pPr>
        <w:pStyle w:val="ListParagraph"/>
        <w:numPr>
          <w:ilvl w:val="0"/>
          <w:numId w:val="1"/>
        </w:numPr>
        <w:rPr>
          <w:rFonts w:ascii="Times New Roman" w:hAnsi="Times New Roman" w:cs="Times New Roman"/>
          <w:sz w:val="24"/>
          <w:szCs w:val="24"/>
        </w:rPr>
      </w:pPr>
      <w:r w:rsidRPr="00F86A3E">
        <w:rPr>
          <w:rFonts w:ascii="Times New Roman" w:hAnsi="Times New Roman" w:cs="Times New Roman"/>
          <w:sz w:val="24"/>
          <w:szCs w:val="24"/>
          <w:u w:val="single"/>
        </w:rPr>
        <w:t>PEP management assertions</w:t>
      </w:r>
      <w:r>
        <w:rPr>
          <w:rFonts w:ascii="Times New Roman" w:hAnsi="Times New Roman" w:cs="Times New Roman"/>
          <w:sz w:val="24"/>
          <w:szCs w:val="24"/>
        </w:rPr>
        <w:t>:</w:t>
      </w:r>
    </w:p>
    <w:tbl>
      <w:tblPr>
        <w:tblW w:w="201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tblGrid>
      <w:tr w:rsidR="006C3517" w:rsidRPr="006C3517" w14:paraId="10C02875" w14:textId="77777777" w:rsidTr="006C3517">
        <w:trPr>
          <w:trHeight w:val="330"/>
        </w:trPr>
        <w:tc>
          <w:tcPr>
            <w:tcW w:w="2880" w:type="dxa"/>
            <w:gridSpan w:val="3"/>
            <w:tcBorders>
              <w:top w:val="nil"/>
              <w:left w:val="nil"/>
              <w:bottom w:val="nil"/>
              <w:right w:val="nil"/>
            </w:tcBorders>
            <w:shd w:val="clear" w:color="auto" w:fill="auto"/>
            <w:vAlign w:val="center"/>
            <w:hideMark/>
          </w:tcPr>
          <w:p w14:paraId="620F2E7B" w14:textId="77777777" w:rsidR="006C3517" w:rsidRPr="006C3517" w:rsidRDefault="006C3517" w:rsidP="006C3517">
            <w:pPr>
              <w:spacing w:after="0" w:line="240" w:lineRule="auto"/>
              <w:rPr>
                <w:rFonts w:ascii="Times New Roman" w:eastAsia="Times New Roman" w:hAnsi="Times New Roman" w:cs="Times New Roman"/>
                <w:sz w:val="24"/>
                <w:szCs w:val="24"/>
              </w:rPr>
            </w:pPr>
          </w:p>
        </w:tc>
        <w:tc>
          <w:tcPr>
            <w:tcW w:w="2880" w:type="dxa"/>
            <w:gridSpan w:val="3"/>
            <w:tcBorders>
              <w:top w:val="nil"/>
              <w:left w:val="nil"/>
              <w:bottom w:val="single" w:sz="8" w:space="0" w:color="000000"/>
              <w:right w:val="nil"/>
            </w:tcBorders>
            <w:shd w:val="clear" w:color="auto" w:fill="auto"/>
            <w:vAlign w:val="bottom"/>
            <w:hideMark/>
          </w:tcPr>
          <w:p w14:paraId="7B770B2F"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2021</w:t>
            </w:r>
          </w:p>
        </w:tc>
        <w:tc>
          <w:tcPr>
            <w:tcW w:w="2880" w:type="dxa"/>
            <w:gridSpan w:val="3"/>
            <w:tcBorders>
              <w:top w:val="nil"/>
              <w:left w:val="nil"/>
              <w:bottom w:val="single" w:sz="8" w:space="0" w:color="000000"/>
              <w:right w:val="nil"/>
            </w:tcBorders>
            <w:shd w:val="clear" w:color="auto" w:fill="auto"/>
            <w:vAlign w:val="bottom"/>
            <w:hideMark/>
          </w:tcPr>
          <w:p w14:paraId="20F4F67F"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2021 % of Net Revenues</w:t>
            </w:r>
          </w:p>
        </w:tc>
        <w:tc>
          <w:tcPr>
            <w:tcW w:w="2880" w:type="dxa"/>
            <w:gridSpan w:val="3"/>
            <w:tcBorders>
              <w:top w:val="nil"/>
              <w:left w:val="nil"/>
              <w:bottom w:val="single" w:sz="8" w:space="0" w:color="000000"/>
              <w:right w:val="nil"/>
            </w:tcBorders>
            <w:shd w:val="clear" w:color="auto" w:fill="auto"/>
            <w:vAlign w:val="bottom"/>
            <w:hideMark/>
          </w:tcPr>
          <w:p w14:paraId="70A139AE"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2020</w:t>
            </w:r>
          </w:p>
        </w:tc>
        <w:tc>
          <w:tcPr>
            <w:tcW w:w="2880" w:type="dxa"/>
            <w:gridSpan w:val="3"/>
            <w:tcBorders>
              <w:top w:val="nil"/>
              <w:left w:val="nil"/>
              <w:bottom w:val="single" w:sz="8" w:space="0" w:color="000000"/>
              <w:right w:val="nil"/>
            </w:tcBorders>
            <w:shd w:val="clear" w:color="auto" w:fill="auto"/>
            <w:vAlign w:val="bottom"/>
            <w:hideMark/>
          </w:tcPr>
          <w:p w14:paraId="742EB65A"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2020 % of Net Revenues</w:t>
            </w:r>
          </w:p>
        </w:tc>
        <w:tc>
          <w:tcPr>
            <w:tcW w:w="2880" w:type="dxa"/>
            <w:gridSpan w:val="3"/>
            <w:tcBorders>
              <w:top w:val="nil"/>
              <w:left w:val="nil"/>
              <w:bottom w:val="single" w:sz="8" w:space="0" w:color="000000"/>
              <w:right w:val="nil"/>
            </w:tcBorders>
            <w:shd w:val="clear" w:color="auto" w:fill="auto"/>
            <w:vAlign w:val="bottom"/>
            <w:hideMark/>
          </w:tcPr>
          <w:p w14:paraId="3F169B7F"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2019</w:t>
            </w:r>
          </w:p>
        </w:tc>
        <w:tc>
          <w:tcPr>
            <w:tcW w:w="2880" w:type="dxa"/>
            <w:gridSpan w:val="3"/>
            <w:tcBorders>
              <w:top w:val="nil"/>
              <w:left w:val="nil"/>
              <w:bottom w:val="single" w:sz="8" w:space="0" w:color="000000"/>
              <w:right w:val="nil"/>
            </w:tcBorders>
            <w:shd w:val="clear" w:color="auto" w:fill="auto"/>
            <w:vAlign w:val="bottom"/>
            <w:hideMark/>
          </w:tcPr>
          <w:p w14:paraId="61583A44"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2019  % of Net Revenues</w:t>
            </w:r>
          </w:p>
        </w:tc>
      </w:tr>
      <w:tr w:rsidR="006C3517" w:rsidRPr="006C3517" w14:paraId="09EDBB8E" w14:textId="77777777" w:rsidTr="006C3517">
        <w:trPr>
          <w:trHeight w:val="315"/>
        </w:trPr>
        <w:tc>
          <w:tcPr>
            <w:tcW w:w="2880" w:type="dxa"/>
            <w:gridSpan w:val="3"/>
            <w:tcBorders>
              <w:top w:val="nil"/>
              <w:left w:val="nil"/>
              <w:bottom w:val="nil"/>
              <w:right w:val="nil"/>
            </w:tcBorders>
            <w:shd w:val="clear" w:color="000000" w:fill="CCEEFF"/>
            <w:hideMark/>
          </w:tcPr>
          <w:p w14:paraId="36DCDD9B" w14:textId="77777777" w:rsidR="006C3517" w:rsidRPr="006C3517" w:rsidRDefault="006C3517" w:rsidP="006C3517">
            <w:pPr>
              <w:spacing w:after="0" w:line="240" w:lineRule="auto"/>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Net Revenue</w:t>
            </w:r>
          </w:p>
        </w:tc>
        <w:tc>
          <w:tcPr>
            <w:tcW w:w="960" w:type="dxa"/>
            <w:tcBorders>
              <w:top w:val="nil"/>
              <w:left w:val="nil"/>
              <w:bottom w:val="nil"/>
              <w:right w:val="nil"/>
            </w:tcBorders>
            <w:shd w:val="clear" w:color="000000" w:fill="CCEEFF"/>
            <w:vAlign w:val="bottom"/>
            <w:hideMark/>
          </w:tcPr>
          <w:p w14:paraId="522E59A0" w14:textId="77777777" w:rsidR="006C3517" w:rsidRPr="006C3517" w:rsidRDefault="006C3517" w:rsidP="006C3517">
            <w:pPr>
              <w:spacing w:after="0" w:line="240" w:lineRule="auto"/>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w:t>
            </w:r>
          </w:p>
        </w:tc>
        <w:tc>
          <w:tcPr>
            <w:tcW w:w="960" w:type="dxa"/>
            <w:tcBorders>
              <w:top w:val="nil"/>
              <w:left w:val="nil"/>
              <w:bottom w:val="nil"/>
              <w:right w:val="nil"/>
            </w:tcBorders>
            <w:shd w:val="clear" w:color="000000" w:fill="CCEEFF"/>
            <w:vAlign w:val="bottom"/>
            <w:hideMark/>
          </w:tcPr>
          <w:p w14:paraId="5731328E"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79,474</w:t>
            </w:r>
            <w:r w:rsidRPr="006C3517">
              <w:rPr>
                <w:rFonts w:ascii="Times New Roman" w:eastAsia="Times New Roman" w:hAnsi="Times New Roman" w:cs="Times New Roman"/>
                <w:color w:val="000000"/>
                <w:sz w:val="24"/>
                <w:szCs w:val="24"/>
              </w:rPr>
              <w:t> </w:t>
            </w:r>
          </w:p>
        </w:tc>
        <w:tc>
          <w:tcPr>
            <w:tcW w:w="960" w:type="dxa"/>
            <w:tcBorders>
              <w:top w:val="nil"/>
              <w:left w:val="nil"/>
              <w:bottom w:val="nil"/>
              <w:right w:val="nil"/>
            </w:tcBorders>
            <w:shd w:val="clear" w:color="000000" w:fill="CCEEFF"/>
            <w:vAlign w:val="bottom"/>
            <w:hideMark/>
          </w:tcPr>
          <w:p w14:paraId="156D4CDA"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single" w:sz="8" w:space="0" w:color="000000"/>
              <w:left w:val="nil"/>
              <w:bottom w:val="nil"/>
              <w:right w:val="nil"/>
            </w:tcBorders>
            <w:shd w:val="clear" w:color="000000" w:fill="CCEEFF"/>
            <w:vAlign w:val="center"/>
            <w:hideMark/>
          </w:tcPr>
          <w:p w14:paraId="1D2A03D1" w14:textId="77777777" w:rsidR="006C3517" w:rsidRPr="006C3517" w:rsidRDefault="006C3517" w:rsidP="006C3517">
            <w:pPr>
              <w:spacing w:after="0" w:line="240" w:lineRule="auto"/>
              <w:jc w:val="center"/>
              <w:rPr>
                <w:rFonts w:ascii="Times New Roman" w:eastAsia="Times New Roman" w:hAnsi="Times New Roman" w:cs="Times New Roman"/>
                <w:b/>
                <w:bCs/>
                <w:color w:val="000000"/>
              </w:rPr>
            </w:pPr>
            <w:r w:rsidRPr="006C3517">
              <w:rPr>
                <w:rFonts w:ascii="Times New Roman" w:eastAsia="Times New Roman" w:hAnsi="Times New Roman" w:cs="Times New Roman"/>
                <w:b/>
                <w:bCs/>
                <w:color w:val="000000"/>
              </w:rPr>
              <w:t>100%</w:t>
            </w:r>
          </w:p>
        </w:tc>
        <w:tc>
          <w:tcPr>
            <w:tcW w:w="960" w:type="dxa"/>
            <w:tcBorders>
              <w:top w:val="nil"/>
              <w:left w:val="nil"/>
              <w:bottom w:val="nil"/>
              <w:right w:val="nil"/>
            </w:tcBorders>
            <w:shd w:val="clear" w:color="000000" w:fill="CCEEFF"/>
            <w:vAlign w:val="bottom"/>
            <w:hideMark/>
          </w:tcPr>
          <w:p w14:paraId="6FE11A60" w14:textId="77777777" w:rsidR="006C3517" w:rsidRPr="006C3517" w:rsidRDefault="006C3517" w:rsidP="006C3517">
            <w:pPr>
              <w:spacing w:after="0" w:line="240" w:lineRule="auto"/>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w:t>
            </w:r>
          </w:p>
        </w:tc>
        <w:tc>
          <w:tcPr>
            <w:tcW w:w="960" w:type="dxa"/>
            <w:tcBorders>
              <w:top w:val="nil"/>
              <w:left w:val="nil"/>
              <w:bottom w:val="nil"/>
              <w:right w:val="nil"/>
            </w:tcBorders>
            <w:shd w:val="clear" w:color="000000" w:fill="CCEEFF"/>
            <w:vAlign w:val="bottom"/>
            <w:hideMark/>
          </w:tcPr>
          <w:p w14:paraId="29BDD095"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70,372 </w:t>
            </w:r>
          </w:p>
        </w:tc>
        <w:tc>
          <w:tcPr>
            <w:tcW w:w="960" w:type="dxa"/>
            <w:tcBorders>
              <w:top w:val="nil"/>
              <w:left w:val="nil"/>
              <w:bottom w:val="nil"/>
              <w:right w:val="nil"/>
            </w:tcBorders>
            <w:shd w:val="clear" w:color="000000" w:fill="CCEEFF"/>
            <w:vAlign w:val="bottom"/>
            <w:hideMark/>
          </w:tcPr>
          <w:p w14:paraId="71F7B9C5"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479EAC02"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100%</w:t>
            </w:r>
          </w:p>
        </w:tc>
        <w:tc>
          <w:tcPr>
            <w:tcW w:w="960" w:type="dxa"/>
            <w:tcBorders>
              <w:top w:val="nil"/>
              <w:left w:val="nil"/>
              <w:bottom w:val="nil"/>
              <w:right w:val="nil"/>
            </w:tcBorders>
            <w:shd w:val="clear" w:color="000000" w:fill="CCEEFF"/>
            <w:vAlign w:val="bottom"/>
            <w:hideMark/>
          </w:tcPr>
          <w:p w14:paraId="2D39A2DE" w14:textId="77777777" w:rsidR="006C3517" w:rsidRPr="006C3517" w:rsidRDefault="006C3517" w:rsidP="006C3517">
            <w:pPr>
              <w:spacing w:after="0" w:line="240" w:lineRule="auto"/>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w:t>
            </w:r>
          </w:p>
        </w:tc>
        <w:tc>
          <w:tcPr>
            <w:tcW w:w="960" w:type="dxa"/>
            <w:tcBorders>
              <w:top w:val="nil"/>
              <w:left w:val="nil"/>
              <w:bottom w:val="nil"/>
              <w:right w:val="nil"/>
            </w:tcBorders>
            <w:shd w:val="clear" w:color="000000" w:fill="CCEEFF"/>
            <w:vAlign w:val="bottom"/>
            <w:hideMark/>
          </w:tcPr>
          <w:p w14:paraId="1729E5D5"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67,161 </w:t>
            </w:r>
          </w:p>
        </w:tc>
        <w:tc>
          <w:tcPr>
            <w:tcW w:w="960" w:type="dxa"/>
            <w:tcBorders>
              <w:top w:val="nil"/>
              <w:left w:val="nil"/>
              <w:bottom w:val="nil"/>
              <w:right w:val="nil"/>
            </w:tcBorders>
            <w:shd w:val="clear" w:color="000000" w:fill="CCEEFF"/>
            <w:vAlign w:val="bottom"/>
            <w:hideMark/>
          </w:tcPr>
          <w:p w14:paraId="3D62E549"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1602F13F"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100%</w:t>
            </w:r>
          </w:p>
        </w:tc>
      </w:tr>
      <w:tr w:rsidR="006C3517" w:rsidRPr="006C3517" w14:paraId="392040C0" w14:textId="77777777" w:rsidTr="006C3517">
        <w:trPr>
          <w:trHeight w:val="324"/>
        </w:trPr>
        <w:tc>
          <w:tcPr>
            <w:tcW w:w="2880" w:type="dxa"/>
            <w:gridSpan w:val="3"/>
            <w:tcBorders>
              <w:top w:val="nil"/>
              <w:left w:val="nil"/>
              <w:bottom w:val="nil"/>
              <w:right w:val="nil"/>
            </w:tcBorders>
            <w:shd w:val="clear" w:color="000000" w:fill="FFFFFF"/>
            <w:hideMark/>
          </w:tcPr>
          <w:p w14:paraId="0040FCDF" w14:textId="77777777" w:rsidR="006C3517" w:rsidRPr="006C3517" w:rsidRDefault="006C3517" w:rsidP="006C3517">
            <w:pPr>
              <w:spacing w:after="0" w:line="240" w:lineRule="auto"/>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Cost of sales</w:t>
            </w:r>
          </w:p>
        </w:tc>
        <w:tc>
          <w:tcPr>
            <w:tcW w:w="1920" w:type="dxa"/>
            <w:gridSpan w:val="2"/>
            <w:tcBorders>
              <w:top w:val="nil"/>
              <w:left w:val="nil"/>
              <w:bottom w:val="single" w:sz="8" w:space="0" w:color="000000"/>
              <w:right w:val="nil"/>
            </w:tcBorders>
            <w:shd w:val="clear" w:color="000000" w:fill="FFFFFF"/>
            <w:vAlign w:val="bottom"/>
            <w:hideMark/>
          </w:tcPr>
          <w:p w14:paraId="5831B906"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37,075</w:t>
            </w:r>
            <w:r w:rsidRPr="006C3517">
              <w:rPr>
                <w:rFonts w:ascii="Times New Roman" w:eastAsia="Times New Roman" w:hAnsi="Times New Roman" w:cs="Times New Roman"/>
                <w:color w:val="000000"/>
                <w:sz w:val="24"/>
                <w:szCs w:val="24"/>
              </w:rPr>
              <w:t> </w:t>
            </w:r>
          </w:p>
        </w:tc>
        <w:tc>
          <w:tcPr>
            <w:tcW w:w="960" w:type="dxa"/>
            <w:tcBorders>
              <w:top w:val="nil"/>
              <w:left w:val="nil"/>
              <w:bottom w:val="nil"/>
              <w:right w:val="nil"/>
            </w:tcBorders>
            <w:shd w:val="clear" w:color="000000" w:fill="FFFFFF"/>
            <w:vAlign w:val="bottom"/>
            <w:hideMark/>
          </w:tcPr>
          <w:p w14:paraId="0693F600"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single" w:sz="8" w:space="0" w:color="000000"/>
              <w:right w:val="nil"/>
            </w:tcBorders>
            <w:shd w:val="clear" w:color="000000" w:fill="FFFFFF"/>
            <w:vAlign w:val="center"/>
            <w:hideMark/>
          </w:tcPr>
          <w:p w14:paraId="7550FF31" w14:textId="77777777" w:rsidR="006C3517" w:rsidRPr="006C3517" w:rsidRDefault="006C3517" w:rsidP="006C3517">
            <w:pPr>
              <w:spacing w:after="0" w:line="240" w:lineRule="auto"/>
              <w:jc w:val="center"/>
              <w:rPr>
                <w:rFonts w:ascii="Times New Roman" w:eastAsia="Times New Roman" w:hAnsi="Times New Roman" w:cs="Times New Roman"/>
                <w:b/>
                <w:bCs/>
                <w:color w:val="000000"/>
              </w:rPr>
            </w:pPr>
            <w:r w:rsidRPr="006C3517">
              <w:rPr>
                <w:rFonts w:ascii="Times New Roman" w:eastAsia="Times New Roman" w:hAnsi="Times New Roman" w:cs="Times New Roman"/>
                <w:b/>
                <w:bCs/>
                <w:color w:val="000000"/>
              </w:rPr>
              <w:t>47%</w:t>
            </w:r>
          </w:p>
        </w:tc>
        <w:tc>
          <w:tcPr>
            <w:tcW w:w="1920" w:type="dxa"/>
            <w:gridSpan w:val="2"/>
            <w:tcBorders>
              <w:top w:val="nil"/>
              <w:left w:val="nil"/>
              <w:bottom w:val="single" w:sz="8" w:space="0" w:color="000000"/>
              <w:right w:val="nil"/>
            </w:tcBorders>
            <w:shd w:val="clear" w:color="000000" w:fill="FFFFFF"/>
            <w:vAlign w:val="bottom"/>
            <w:hideMark/>
          </w:tcPr>
          <w:p w14:paraId="3F5AE68C"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31,797 </w:t>
            </w:r>
          </w:p>
        </w:tc>
        <w:tc>
          <w:tcPr>
            <w:tcW w:w="960" w:type="dxa"/>
            <w:tcBorders>
              <w:top w:val="nil"/>
              <w:left w:val="nil"/>
              <w:bottom w:val="nil"/>
              <w:right w:val="nil"/>
            </w:tcBorders>
            <w:shd w:val="clear" w:color="000000" w:fill="FFFFFF"/>
            <w:vAlign w:val="bottom"/>
            <w:hideMark/>
          </w:tcPr>
          <w:p w14:paraId="1D4B6A7E"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FFFFFF"/>
            <w:vAlign w:val="center"/>
            <w:hideMark/>
          </w:tcPr>
          <w:p w14:paraId="7141313F"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45%</w:t>
            </w:r>
          </w:p>
        </w:tc>
        <w:tc>
          <w:tcPr>
            <w:tcW w:w="1920" w:type="dxa"/>
            <w:gridSpan w:val="2"/>
            <w:tcBorders>
              <w:top w:val="nil"/>
              <w:left w:val="nil"/>
              <w:bottom w:val="single" w:sz="8" w:space="0" w:color="000000"/>
              <w:right w:val="nil"/>
            </w:tcBorders>
            <w:shd w:val="clear" w:color="000000" w:fill="FFFFFF"/>
            <w:vAlign w:val="bottom"/>
            <w:hideMark/>
          </w:tcPr>
          <w:p w14:paraId="6D0B370B"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30,132 </w:t>
            </w:r>
          </w:p>
        </w:tc>
        <w:tc>
          <w:tcPr>
            <w:tcW w:w="960" w:type="dxa"/>
            <w:tcBorders>
              <w:top w:val="nil"/>
              <w:left w:val="nil"/>
              <w:bottom w:val="nil"/>
              <w:right w:val="nil"/>
            </w:tcBorders>
            <w:shd w:val="clear" w:color="000000" w:fill="FFFFFF"/>
            <w:vAlign w:val="bottom"/>
            <w:hideMark/>
          </w:tcPr>
          <w:p w14:paraId="624B9642"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FFFFFF"/>
            <w:vAlign w:val="center"/>
            <w:hideMark/>
          </w:tcPr>
          <w:p w14:paraId="08D04629"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45%</w:t>
            </w:r>
          </w:p>
        </w:tc>
      </w:tr>
      <w:tr w:rsidR="006C3517" w:rsidRPr="006C3517" w14:paraId="111201B8" w14:textId="77777777" w:rsidTr="006C3517">
        <w:trPr>
          <w:trHeight w:val="315"/>
        </w:trPr>
        <w:tc>
          <w:tcPr>
            <w:tcW w:w="2880" w:type="dxa"/>
            <w:gridSpan w:val="3"/>
            <w:tcBorders>
              <w:top w:val="nil"/>
              <w:left w:val="nil"/>
              <w:bottom w:val="nil"/>
              <w:right w:val="nil"/>
            </w:tcBorders>
            <w:shd w:val="clear" w:color="000000" w:fill="CCEEFF"/>
            <w:hideMark/>
          </w:tcPr>
          <w:p w14:paraId="2560E5E3" w14:textId="77777777" w:rsidR="006C3517" w:rsidRPr="006C3517" w:rsidRDefault="006C3517" w:rsidP="006C3517">
            <w:pPr>
              <w:spacing w:after="0" w:line="240" w:lineRule="auto"/>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Gross profit</w:t>
            </w:r>
          </w:p>
        </w:tc>
        <w:tc>
          <w:tcPr>
            <w:tcW w:w="960" w:type="dxa"/>
            <w:tcBorders>
              <w:top w:val="nil"/>
              <w:left w:val="nil"/>
              <w:bottom w:val="nil"/>
              <w:right w:val="nil"/>
            </w:tcBorders>
            <w:shd w:val="clear" w:color="000000" w:fill="CCEEFF"/>
            <w:vAlign w:val="bottom"/>
            <w:hideMark/>
          </w:tcPr>
          <w:p w14:paraId="115FEAAB"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42,399</w:t>
            </w:r>
            <w:r w:rsidRPr="006C3517">
              <w:rPr>
                <w:rFonts w:ascii="Times New Roman" w:eastAsia="Times New Roman" w:hAnsi="Times New Roman" w:cs="Times New Roman"/>
                <w:color w:val="000000"/>
                <w:sz w:val="24"/>
                <w:szCs w:val="24"/>
              </w:rPr>
              <w:t> </w:t>
            </w:r>
          </w:p>
        </w:tc>
        <w:tc>
          <w:tcPr>
            <w:tcW w:w="960" w:type="dxa"/>
            <w:tcBorders>
              <w:top w:val="nil"/>
              <w:left w:val="nil"/>
              <w:bottom w:val="nil"/>
              <w:right w:val="nil"/>
            </w:tcBorders>
            <w:shd w:val="clear" w:color="000000" w:fill="CCEEFF"/>
            <w:vAlign w:val="bottom"/>
            <w:hideMark/>
          </w:tcPr>
          <w:p w14:paraId="27BA5440"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 </w:t>
            </w:r>
          </w:p>
        </w:tc>
        <w:tc>
          <w:tcPr>
            <w:tcW w:w="960" w:type="dxa"/>
            <w:tcBorders>
              <w:top w:val="single" w:sz="8" w:space="0" w:color="000000"/>
              <w:left w:val="nil"/>
              <w:bottom w:val="nil"/>
              <w:right w:val="nil"/>
            </w:tcBorders>
            <w:shd w:val="clear" w:color="000000" w:fill="CCEEFF"/>
            <w:vAlign w:val="bottom"/>
            <w:hideMark/>
          </w:tcPr>
          <w:p w14:paraId="323EE295"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 </w:t>
            </w:r>
          </w:p>
        </w:tc>
        <w:tc>
          <w:tcPr>
            <w:tcW w:w="2880" w:type="dxa"/>
            <w:gridSpan w:val="3"/>
            <w:tcBorders>
              <w:top w:val="single" w:sz="8" w:space="0" w:color="000000"/>
              <w:left w:val="nil"/>
              <w:bottom w:val="nil"/>
              <w:right w:val="nil"/>
            </w:tcBorders>
            <w:shd w:val="clear" w:color="000000" w:fill="CCEEFF"/>
            <w:vAlign w:val="bottom"/>
            <w:hideMark/>
          </w:tcPr>
          <w:p w14:paraId="318744F9" w14:textId="77777777" w:rsidR="006C3517" w:rsidRPr="006C3517" w:rsidRDefault="006C3517" w:rsidP="006C3517">
            <w:pPr>
              <w:spacing w:after="0" w:line="240" w:lineRule="auto"/>
              <w:jc w:val="center"/>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53%</w:t>
            </w:r>
          </w:p>
        </w:tc>
        <w:tc>
          <w:tcPr>
            <w:tcW w:w="1920" w:type="dxa"/>
            <w:gridSpan w:val="2"/>
            <w:tcBorders>
              <w:top w:val="single" w:sz="8" w:space="0" w:color="000000"/>
              <w:left w:val="nil"/>
              <w:bottom w:val="nil"/>
              <w:right w:val="nil"/>
            </w:tcBorders>
            <w:shd w:val="clear" w:color="000000" w:fill="CCEEFF"/>
            <w:vAlign w:val="bottom"/>
            <w:hideMark/>
          </w:tcPr>
          <w:p w14:paraId="2D6DCBF1"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38,575 </w:t>
            </w:r>
          </w:p>
        </w:tc>
        <w:tc>
          <w:tcPr>
            <w:tcW w:w="960" w:type="dxa"/>
            <w:tcBorders>
              <w:top w:val="single" w:sz="8" w:space="0" w:color="000000"/>
              <w:left w:val="nil"/>
              <w:bottom w:val="nil"/>
              <w:right w:val="nil"/>
            </w:tcBorders>
            <w:shd w:val="clear" w:color="000000" w:fill="CCEEFF"/>
            <w:vAlign w:val="bottom"/>
            <w:hideMark/>
          </w:tcPr>
          <w:p w14:paraId="68359AF7"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6B86DB55"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55%</w:t>
            </w:r>
          </w:p>
        </w:tc>
        <w:tc>
          <w:tcPr>
            <w:tcW w:w="1920" w:type="dxa"/>
            <w:gridSpan w:val="2"/>
            <w:tcBorders>
              <w:top w:val="single" w:sz="8" w:space="0" w:color="000000"/>
              <w:left w:val="nil"/>
              <w:bottom w:val="nil"/>
              <w:right w:val="nil"/>
            </w:tcBorders>
            <w:shd w:val="clear" w:color="000000" w:fill="CCEEFF"/>
            <w:vAlign w:val="bottom"/>
            <w:hideMark/>
          </w:tcPr>
          <w:p w14:paraId="2F993168"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37,029 </w:t>
            </w:r>
          </w:p>
        </w:tc>
        <w:tc>
          <w:tcPr>
            <w:tcW w:w="960" w:type="dxa"/>
            <w:tcBorders>
              <w:top w:val="single" w:sz="8" w:space="0" w:color="000000"/>
              <w:left w:val="nil"/>
              <w:bottom w:val="nil"/>
              <w:right w:val="nil"/>
            </w:tcBorders>
            <w:shd w:val="clear" w:color="000000" w:fill="CCEEFF"/>
            <w:vAlign w:val="bottom"/>
            <w:hideMark/>
          </w:tcPr>
          <w:p w14:paraId="2309416B"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351F6928"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55%</w:t>
            </w:r>
          </w:p>
        </w:tc>
      </w:tr>
      <w:tr w:rsidR="006C3517" w:rsidRPr="006C3517" w14:paraId="55AA6148" w14:textId="77777777" w:rsidTr="006C3517">
        <w:trPr>
          <w:trHeight w:val="630"/>
        </w:trPr>
        <w:tc>
          <w:tcPr>
            <w:tcW w:w="2880" w:type="dxa"/>
            <w:gridSpan w:val="3"/>
            <w:tcBorders>
              <w:top w:val="nil"/>
              <w:left w:val="nil"/>
              <w:bottom w:val="nil"/>
              <w:right w:val="nil"/>
            </w:tcBorders>
            <w:shd w:val="clear" w:color="000000" w:fill="FFFFFF"/>
            <w:hideMark/>
          </w:tcPr>
          <w:p w14:paraId="7AD8AFAE" w14:textId="77777777" w:rsidR="006C3517" w:rsidRPr="006C3517" w:rsidRDefault="006C3517" w:rsidP="006C3517">
            <w:pPr>
              <w:spacing w:after="0" w:line="240" w:lineRule="auto"/>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Selling, general and administrative expenses</w:t>
            </w:r>
          </w:p>
        </w:tc>
        <w:tc>
          <w:tcPr>
            <w:tcW w:w="1920" w:type="dxa"/>
            <w:gridSpan w:val="2"/>
            <w:tcBorders>
              <w:top w:val="nil"/>
              <w:left w:val="nil"/>
              <w:bottom w:val="nil"/>
              <w:right w:val="nil"/>
            </w:tcBorders>
            <w:shd w:val="clear" w:color="000000" w:fill="FFFFFF"/>
            <w:vAlign w:val="bottom"/>
            <w:hideMark/>
          </w:tcPr>
          <w:p w14:paraId="65D89D1F"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31,237</w:t>
            </w:r>
            <w:r w:rsidRPr="006C3517">
              <w:rPr>
                <w:rFonts w:ascii="Times New Roman" w:eastAsia="Times New Roman" w:hAnsi="Times New Roman" w:cs="Times New Roman"/>
                <w:color w:val="000000"/>
                <w:sz w:val="24"/>
                <w:szCs w:val="24"/>
              </w:rPr>
              <w:t> </w:t>
            </w:r>
          </w:p>
        </w:tc>
        <w:tc>
          <w:tcPr>
            <w:tcW w:w="960" w:type="dxa"/>
            <w:tcBorders>
              <w:top w:val="nil"/>
              <w:left w:val="nil"/>
              <w:bottom w:val="nil"/>
              <w:right w:val="nil"/>
            </w:tcBorders>
            <w:shd w:val="clear" w:color="000000" w:fill="FFFFFF"/>
            <w:vAlign w:val="bottom"/>
            <w:hideMark/>
          </w:tcPr>
          <w:p w14:paraId="4210924B"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FFFFFF"/>
            <w:vAlign w:val="center"/>
            <w:hideMark/>
          </w:tcPr>
          <w:p w14:paraId="10C90D88" w14:textId="77777777" w:rsidR="006C3517" w:rsidRPr="006C3517" w:rsidRDefault="006C3517" w:rsidP="006C3517">
            <w:pPr>
              <w:spacing w:after="0" w:line="240" w:lineRule="auto"/>
              <w:jc w:val="center"/>
              <w:rPr>
                <w:rFonts w:ascii="Times New Roman" w:eastAsia="Times New Roman" w:hAnsi="Times New Roman" w:cs="Times New Roman"/>
                <w:b/>
                <w:bCs/>
                <w:color w:val="000000"/>
              </w:rPr>
            </w:pPr>
            <w:r w:rsidRPr="006C3517">
              <w:rPr>
                <w:rFonts w:ascii="Times New Roman" w:eastAsia="Times New Roman" w:hAnsi="Times New Roman" w:cs="Times New Roman"/>
                <w:b/>
                <w:bCs/>
                <w:color w:val="000000"/>
              </w:rPr>
              <w:t>39%</w:t>
            </w:r>
          </w:p>
        </w:tc>
        <w:tc>
          <w:tcPr>
            <w:tcW w:w="1920" w:type="dxa"/>
            <w:gridSpan w:val="2"/>
            <w:tcBorders>
              <w:top w:val="nil"/>
              <w:left w:val="nil"/>
              <w:bottom w:val="nil"/>
              <w:right w:val="nil"/>
            </w:tcBorders>
            <w:shd w:val="clear" w:color="000000" w:fill="FFFFFF"/>
            <w:vAlign w:val="bottom"/>
            <w:hideMark/>
          </w:tcPr>
          <w:p w14:paraId="0C18DC6C"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28,495 </w:t>
            </w:r>
          </w:p>
        </w:tc>
        <w:tc>
          <w:tcPr>
            <w:tcW w:w="960" w:type="dxa"/>
            <w:tcBorders>
              <w:top w:val="nil"/>
              <w:left w:val="nil"/>
              <w:bottom w:val="nil"/>
              <w:right w:val="nil"/>
            </w:tcBorders>
            <w:shd w:val="clear" w:color="000000" w:fill="FFFFFF"/>
            <w:vAlign w:val="bottom"/>
            <w:hideMark/>
          </w:tcPr>
          <w:p w14:paraId="30CCCFAF"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FFFFFF"/>
            <w:vAlign w:val="center"/>
            <w:hideMark/>
          </w:tcPr>
          <w:p w14:paraId="3C484C1C"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40%</w:t>
            </w:r>
          </w:p>
        </w:tc>
        <w:tc>
          <w:tcPr>
            <w:tcW w:w="1920" w:type="dxa"/>
            <w:gridSpan w:val="2"/>
            <w:tcBorders>
              <w:top w:val="nil"/>
              <w:left w:val="nil"/>
              <w:bottom w:val="nil"/>
              <w:right w:val="nil"/>
            </w:tcBorders>
            <w:shd w:val="clear" w:color="000000" w:fill="FFFFFF"/>
            <w:vAlign w:val="bottom"/>
            <w:hideMark/>
          </w:tcPr>
          <w:p w14:paraId="3C9C985A"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26,738 </w:t>
            </w:r>
          </w:p>
        </w:tc>
        <w:tc>
          <w:tcPr>
            <w:tcW w:w="960" w:type="dxa"/>
            <w:tcBorders>
              <w:top w:val="nil"/>
              <w:left w:val="nil"/>
              <w:bottom w:val="nil"/>
              <w:right w:val="nil"/>
            </w:tcBorders>
            <w:shd w:val="clear" w:color="000000" w:fill="FFFFFF"/>
            <w:vAlign w:val="bottom"/>
            <w:hideMark/>
          </w:tcPr>
          <w:p w14:paraId="5E8D87CA"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FFFFFF"/>
            <w:vAlign w:val="center"/>
            <w:hideMark/>
          </w:tcPr>
          <w:p w14:paraId="769F3B14"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40%</w:t>
            </w:r>
          </w:p>
        </w:tc>
      </w:tr>
      <w:tr w:rsidR="006C3517" w:rsidRPr="006C3517" w14:paraId="7EB6AF07" w14:textId="77777777" w:rsidTr="006C3517">
        <w:trPr>
          <w:trHeight w:val="300"/>
        </w:trPr>
        <w:tc>
          <w:tcPr>
            <w:tcW w:w="960" w:type="dxa"/>
            <w:tcBorders>
              <w:top w:val="nil"/>
              <w:left w:val="nil"/>
              <w:bottom w:val="nil"/>
              <w:right w:val="nil"/>
            </w:tcBorders>
            <w:shd w:val="clear" w:color="auto" w:fill="auto"/>
            <w:noWrap/>
            <w:vAlign w:val="bottom"/>
            <w:hideMark/>
          </w:tcPr>
          <w:p w14:paraId="0462DA1B" w14:textId="77777777" w:rsidR="006C3517" w:rsidRPr="006C3517" w:rsidRDefault="006C3517" w:rsidP="006C3517">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F55F434"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866A25"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A305ED"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2731F0"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B379B0"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D5022F0"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592E67" w14:textId="77777777" w:rsidR="006C3517" w:rsidRPr="006C3517" w:rsidRDefault="006C3517" w:rsidP="006C3517">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55D764" w14:textId="77777777" w:rsidR="006C3517" w:rsidRPr="006C3517" w:rsidRDefault="006C3517" w:rsidP="006C3517">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6351D73" w14:textId="77777777" w:rsidR="006C3517" w:rsidRPr="006C3517" w:rsidRDefault="006C3517" w:rsidP="006C3517">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B7A403"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61BDBC1"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5CA850F"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55F535C"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0DD222"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43106F"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DA40FF"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FC6C33"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6CFBA37"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27BA15" w14:textId="77777777" w:rsidR="006C3517" w:rsidRPr="006C3517" w:rsidRDefault="006C3517" w:rsidP="006C351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1A72E5" w14:textId="77777777" w:rsidR="006C3517" w:rsidRPr="006C3517" w:rsidRDefault="006C3517" w:rsidP="006C3517">
            <w:pPr>
              <w:spacing w:after="0" w:line="240" w:lineRule="auto"/>
              <w:rPr>
                <w:rFonts w:ascii="Times New Roman" w:eastAsia="Times New Roman" w:hAnsi="Times New Roman" w:cs="Times New Roman"/>
                <w:sz w:val="20"/>
                <w:szCs w:val="20"/>
              </w:rPr>
            </w:pPr>
          </w:p>
        </w:tc>
      </w:tr>
      <w:tr w:rsidR="006C3517" w:rsidRPr="006C3517" w14:paraId="4762FAD1" w14:textId="77777777" w:rsidTr="006C3517">
        <w:trPr>
          <w:trHeight w:val="324"/>
        </w:trPr>
        <w:tc>
          <w:tcPr>
            <w:tcW w:w="2880" w:type="dxa"/>
            <w:gridSpan w:val="3"/>
            <w:tcBorders>
              <w:top w:val="nil"/>
              <w:left w:val="nil"/>
              <w:bottom w:val="nil"/>
              <w:right w:val="nil"/>
            </w:tcBorders>
            <w:shd w:val="clear" w:color="000000" w:fill="CCEEFF"/>
            <w:hideMark/>
          </w:tcPr>
          <w:p w14:paraId="416598B4" w14:textId="77777777" w:rsidR="006C3517" w:rsidRPr="006C3517" w:rsidRDefault="006C3517" w:rsidP="006C3517">
            <w:pPr>
              <w:spacing w:after="0" w:line="240" w:lineRule="auto"/>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Operating Profit</w:t>
            </w:r>
          </w:p>
        </w:tc>
        <w:tc>
          <w:tcPr>
            <w:tcW w:w="1920" w:type="dxa"/>
            <w:gridSpan w:val="2"/>
            <w:tcBorders>
              <w:top w:val="single" w:sz="12" w:space="0" w:color="000000"/>
              <w:left w:val="nil"/>
              <w:bottom w:val="nil"/>
              <w:right w:val="nil"/>
            </w:tcBorders>
            <w:shd w:val="clear" w:color="000000" w:fill="CCEEFF"/>
            <w:vAlign w:val="bottom"/>
            <w:hideMark/>
          </w:tcPr>
          <w:p w14:paraId="71A0004A" w14:textId="77777777" w:rsidR="006C3517" w:rsidRPr="006C3517" w:rsidRDefault="006C3517" w:rsidP="006C3517">
            <w:pPr>
              <w:spacing w:after="0" w:line="240" w:lineRule="auto"/>
              <w:jc w:val="right"/>
              <w:rPr>
                <w:rFonts w:ascii="Times New Roman" w:eastAsia="Times New Roman" w:hAnsi="Times New Roman" w:cs="Times New Roman"/>
                <w:b/>
                <w:bCs/>
                <w:color w:val="000000"/>
                <w:sz w:val="24"/>
                <w:szCs w:val="24"/>
              </w:rPr>
            </w:pPr>
            <w:r w:rsidRPr="006C3517">
              <w:rPr>
                <w:rFonts w:ascii="Times New Roman" w:eastAsia="Times New Roman" w:hAnsi="Times New Roman" w:cs="Times New Roman"/>
                <w:b/>
                <w:bCs/>
                <w:color w:val="000000"/>
                <w:sz w:val="24"/>
                <w:szCs w:val="24"/>
              </w:rPr>
              <w:t>11,162</w:t>
            </w:r>
            <w:r w:rsidRPr="006C3517">
              <w:rPr>
                <w:rFonts w:ascii="Times New Roman" w:eastAsia="Times New Roman" w:hAnsi="Times New Roman" w:cs="Times New Roman"/>
                <w:color w:val="000000"/>
                <w:sz w:val="24"/>
                <w:szCs w:val="24"/>
              </w:rPr>
              <w:t> </w:t>
            </w:r>
          </w:p>
        </w:tc>
        <w:tc>
          <w:tcPr>
            <w:tcW w:w="960" w:type="dxa"/>
            <w:tcBorders>
              <w:top w:val="single" w:sz="12" w:space="0" w:color="000000"/>
              <w:left w:val="nil"/>
              <w:bottom w:val="nil"/>
              <w:right w:val="nil"/>
            </w:tcBorders>
            <w:shd w:val="clear" w:color="000000" w:fill="CCEEFF"/>
            <w:vAlign w:val="bottom"/>
            <w:hideMark/>
          </w:tcPr>
          <w:p w14:paraId="2237FAFD"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58A48929" w14:textId="77777777" w:rsidR="006C3517" w:rsidRPr="006C3517" w:rsidRDefault="006C3517" w:rsidP="006C3517">
            <w:pPr>
              <w:spacing w:after="0" w:line="240" w:lineRule="auto"/>
              <w:jc w:val="center"/>
              <w:rPr>
                <w:rFonts w:ascii="Times New Roman" w:eastAsia="Times New Roman" w:hAnsi="Times New Roman" w:cs="Times New Roman"/>
                <w:b/>
                <w:bCs/>
                <w:color w:val="000000"/>
              </w:rPr>
            </w:pPr>
            <w:r w:rsidRPr="006C3517">
              <w:rPr>
                <w:rFonts w:ascii="Times New Roman" w:eastAsia="Times New Roman" w:hAnsi="Times New Roman" w:cs="Times New Roman"/>
                <w:b/>
                <w:bCs/>
                <w:color w:val="000000"/>
              </w:rPr>
              <w:t>14%</w:t>
            </w:r>
          </w:p>
        </w:tc>
        <w:tc>
          <w:tcPr>
            <w:tcW w:w="1920" w:type="dxa"/>
            <w:gridSpan w:val="2"/>
            <w:tcBorders>
              <w:top w:val="single" w:sz="12" w:space="0" w:color="000000"/>
              <w:left w:val="nil"/>
              <w:bottom w:val="nil"/>
              <w:right w:val="nil"/>
            </w:tcBorders>
            <w:shd w:val="clear" w:color="000000" w:fill="CCEEFF"/>
            <w:vAlign w:val="bottom"/>
            <w:hideMark/>
          </w:tcPr>
          <w:p w14:paraId="3B2ECE26"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10,080 </w:t>
            </w:r>
          </w:p>
        </w:tc>
        <w:tc>
          <w:tcPr>
            <w:tcW w:w="960" w:type="dxa"/>
            <w:tcBorders>
              <w:top w:val="single" w:sz="12" w:space="0" w:color="000000"/>
              <w:left w:val="nil"/>
              <w:bottom w:val="nil"/>
              <w:right w:val="nil"/>
            </w:tcBorders>
            <w:shd w:val="clear" w:color="000000" w:fill="CCEEFF"/>
            <w:vAlign w:val="bottom"/>
            <w:hideMark/>
          </w:tcPr>
          <w:p w14:paraId="0DA762FF"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698D8648"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14%</w:t>
            </w:r>
          </w:p>
        </w:tc>
        <w:tc>
          <w:tcPr>
            <w:tcW w:w="1920" w:type="dxa"/>
            <w:gridSpan w:val="2"/>
            <w:tcBorders>
              <w:top w:val="single" w:sz="12" w:space="0" w:color="000000"/>
              <w:left w:val="nil"/>
              <w:bottom w:val="nil"/>
              <w:right w:val="nil"/>
            </w:tcBorders>
            <w:shd w:val="clear" w:color="000000" w:fill="CCEEFF"/>
            <w:vAlign w:val="bottom"/>
            <w:hideMark/>
          </w:tcPr>
          <w:p w14:paraId="75657A74" w14:textId="77777777" w:rsidR="006C3517" w:rsidRPr="006C3517" w:rsidRDefault="006C3517" w:rsidP="006C3517">
            <w:pPr>
              <w:spacing w:after="0" w:line="240" w:lineRule="auto"/>
              <w:jc w:val="right"/>
              <w:rPr>
                <w:rFonts w:ascii="Times New Roman" w:eastAsia="Times New Roman" w:hAnsi="Times New Roman" w:cs="Times New Roman"/>
                <w:color w:val="000000"/>
                <w:sz w:val="24"/>
                <w:szCs w:val="24"/>
              </w:rPr>
            </w:pPr>
            <w:r w:rsidRPr="006C3517">
              <w:rPr>
                <w:rFonts w:ascii="Times New Roman" w:eastAsia="Times New Roman" w:hAnsi="Times New Roman" w:cs="Times New Roman"/>
                <w:color w:val="000000"/>
                <w:sz w:val="24"/>
                <w:szCs w:val="24"/>
              </w:rPr>
              <w:t>10,291 </w:t>
            </w:r>
          </w:p>
        </w:tc>
        <w:tc>
          <w:tcPr>
            <w:tcW w:w="960" w:type="dxa"/>
            <w:tcBorders>
              <w:top w:val="single" w:sz="12" w:space="0" w:color="000000"/>
              <w:left w:val="nil"/>
              <w:bottom w:val="nil"/>
              <w:right w:val="nil"/>
            </w:tcBorders>
            <w:shd w:val="clear" w:color="000000" w:fill="CCEEFF"/>
            <w:vAlign w:val="bottom"/>
            <w:hideMark/>
          </w:tcPr>
          <w:p w14:paraId="5117AF79"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 </w:t>
            </w:r>
          </w:p>
        </w:tc>
        <w:tc>
          <w:tcPr>
            <w:tcW w:w="2880" w:type="dxa"/>
            <w:gridSpan w:val="3"/>
            <w:tcBorders>
              <w:top w:val="nil"/>
              <w:left w:val="nil"/>
              <w:bottom w:val="nil"/>
              <w:right w:val="nil"/>
            </w:tcBorders>
            <w:shd w:val="clear" w:color="000000" w:fill="CCEEFF"/>
            <w:vAlign w:val="center"/>
            <w:hideMark/>
          </w:tcPr>
          <w:p w14:paraId="14B38E33" w14:textId="77777777" w:rsidR="006C3517" w:rsidRPr="006C3517" w:rsidRDefault="006C3517" w:rsidP="006C3517">
            <w:pPr>
              <w:spacing w:after="0" w:line="240" w:lineRule="auto"/>
              <w:jc w:val="right"/>
              <w:rPr>
                <w:rFonts w:ascii="Times New Roman" w:eastAsia="Times New Roman" w:hAnsi="Times New Roman" w:cs="Times New Roman"/>
                <w:color w:val="000000"/>
              </w:rPr>
            </w:pPr>
            <w:r w:rsidRPr="006C3517">
              <w:rPr>
                <w:rFonts w:ascii="Times New Roman" w:eastAsia="Times New Roman" w:hAnsi="Times New Roman" w:cs="Times New Roman"/>
                <w:color w:val="000000"/>
              </w:rPr>
              <w:t>15%</w:t>
            </w:r>
          </w:p>
        </w:tc>
      </w:tr>
    </w:tbl>
    <w:p w14:paraId="3EB3CEBF" w14:textId="363F4E08" w:rsidR="004A5E7B" w:rsidRDefault="004A5E7B">
      <w:pPr>
        <w:rPr>
          <w:rFonts w:ascii="Times New Roman" w:hAnsi="Times New Roman" w:cs="Times New Roman"/>
          <w:sz w:val="24"/>
          <w:szCs w:val="24"/>
        </w:rPr>
      </w:pPr>
    </w:p>
    <w:p w14:paraId="4837CC49" w14:textId="0EB5862B" w:rsidR="0050792F" w:rsidRDefault="001835C4">
      <w:pPr>
        <w:rPr>
          <w:rFonts w:ascii="Times New Roman" w:hAnsi="Times New Roman" w:cs="Times New Roman"/>
          <w:sz w:val="24"/>
          <w:szCs w:val="24"/>
        </w:rPr>
      </w:pPr>
      <w:r>
        <w:rPr>
          <w:rFonts w:ascii="Times New Roman" w:hAnsi="Times New Roman" w:cs="Times New Roman"/>
          <w:sz w:val="24"/>
          <w:szCs w:val="24"/>
        </w:rPr>
        <w:t>Like</w:t>
      </w:r>
      <w:r w:rsidR="0050792F">
        <w:rPr>
          <w:rFonts w:ascii="Times New Roman" w:hAnsi="Times New Roman" w:cs="Times New Roman"/>
          <w:sz w:val="24"/>
          <w:szCs w:val="24"/>
        </w:rPr>
        <w:t xml:space="preserve"> KO, Pepsi Co. is concerned more with foreign sales than domestic. They also operate in more than 200 countries and COVID lockdowns have impacted sales potential in FY 2021. </w:t>
      </w:r>
      <w:r>
        <w:rPr>
          <w:rFonts w:ascii="Times New Roman" w:hAnsi="Times New Roman" w:cs="Times New Roman"/>
          <w:sz w:val="24"/>
          <w:szCs w:val="24"/>
        </w:rPr>
        <w:t>However, they rely less on foreign sales that make up their revenue. Only 44% of foreign sales made up overall FY 2021 revenues.</w:t>
      </w:r>
      <w:r w:rsidR="00585A81">
        <w:rPr>
          <w:rFonts w:ascii="Times New Roman" w:hAnsi="Times New Roman" w:cs="Times New Roman"/>
          <w:sz w:val="24"/>
          <w:szCs w:val="24"/>
        </w:rPr>
        <w:t xml:space="preserve"> The lockdowns had no material effect on operations, especially not domestically.</w:t>
      </w:r>
      <w:r>
        <w:rPr>
          <w:rFonts w:ascii="Times New Roman" w:hAnsi="Times New Roman" w:cs="Times New Roman"/>
          <w:sz w:val="24"/>
          <w:szCs w:val="24"/>
        </w:rPr>
        <w:t xml:space="preserve"> PEP is still more sales focused on foreign market share. </w:t>
      </w:r>
      <w:r w:rsidR="0050792F">
        <w:rPr>
          <w:rFonts w:ascii="Times New Roman" w:hAnsi="Times New Roman" w:cs="Times New Roman"/>
          <w:sz w:val="24"/>
          <w:szCs w:val="24"/>
        </w:rPr>
        <w:t xml:space="preserve">Manufacturing and access to ingredient materials became </w:t>
      </w:r>
      <w:r>
        <w:rPr>
          <w:rFonts w:ascii="Times New Roman" w:hAnsi="Times New Roman" w:cs="Times New Roman"/>
          <w:sz w:val="24"/>
          <w:szCs w:val="24"/>
        </w:rPr>
        <w:t xml:space="preserve">scarce and hard to come by. Vendors in the supply chain faced credit problems and bankruptcy which PEP mentioned they cannot control. </w:t>
      </w:r>
      <w:r w:rsidR="0050792F">
        <w:rPr>
          <w:rFonts w:ascii="Times New Roman" w:hAnsi="Times New Roman" w:cs="Times New Roman"/>
          <w:sz w:val="24"/>
          <w:szCs w:val="24"/>
        </w:rPr>
        <w:t>Unlike KO who resolved to obtain controlling interest in vendor companies essential to their product distribution, PEP relied more on doing business with vendors where their own board members also sat on the boards of those companies</w:t>
      </w:r>
      <w:r>
        <w:rPr>
          <w:rFonts w:ascii="Times New Roman" w:hAnsi="Times New Roman" w:cs="Times New Roman"/>
          <w:sz w:val="24"/>
          <w:szCs w:val="24"/>
        </w:rPr>
        <w:t>, gaining favorable contracts, while maintaining non-controlling interest.</w:t>
      </w:r>
      <w:r w:rsidR="00585A81">
        <w:rPr>
          <w:rFonts w:ascii="Times New Roman" w:hAnsi="Times New Roman" w:cs="Times New Roman"/>
          <w:sz w:val="24"/>
          <w:szCs w:val="24"/>
        </w:rPr>
        <w:t xml:space="preserve"> Bottling partners used by PEP are independent.</w:t>
      </w:r>
      <w:r w:rsidR="000A4E2C">
        <w:rPr>
          <w:rFonts w:ascii="Times New Roman" w:hAnsi="Times New Roman" w:cs="Times New Roman"/>
          <w:sz w:val="24"/>
          <w:szCs w:val="24"/>
        </w:rPr>
        <w:t xml:space="preserve"> And these independent vendors are more self-reliant making “made-to-go” products that don’t rely on using outside materials.</w:t>
      </w:r>
      <w:r>
        <w:rPr>
          <w:rFonts w:ascii="Times New Roman" w:hAnsi="Times New Roman" w:cs="Times New Roman"/>
          <w:sz w:val="24"/>
          <w:szCs w:val="24"/>
        </w:rPr>
        <w:t xml:space="preserve"> </w:t>
      </w:r>
      <w:r w:rsidR="00643C92">
        <w:rPr>
          <w:rFonts w:ascii="Times New Roman" w:hAnsi="Times New Roman" w:cs="Times New Roman"/>
          <w:sz w:val="24"/>
          <w:szCs w:val="24"/>
        </w:rPr>
        <w:t xml:space="preserve">PEP </w:t>
      </w:r>
      <w:r w:rsidR="00585A81">
        <w:rPr>
          <w:rFonts w:ascii="Times New Roman" w:hAnsi="Times New Roman" w:cs="Times New Roman"/>
          <w:sz w:val="24"/>
          <w:szCs w:val="24"/>
        </w:rPr>
        <w:t>still</w:t>
      </w:r>
      <w:r w:rsidR="00643C92">
        <w:rPr>
          <w:rFonts w:ascii="Times New Roman" w:hAnsi="Times New Roman" w:cs="Times New Roman"/>
          <w:sz w:val="24"/>
          <w:szCs w:val="24"/>
        </w:rPr>
        <w:t xml:space="preserve"> sends concentrate materials to independent bottlers. PEP expresses sales as “Bottler Case Sales” (BCS)</w:t>
      </w:r>
      <w:r w:rsidR="00585A81">
        <w:rPr>
          <w:rFonts w:ascii="Times New Roman" w:hAnsi="Times New Roman" w:cs="Times New Roman"/>
          <w:sz w:val="24"/>
          <w:szCs w:val="24"/>
        </w:rPr>
        <w:t>.</w:t>
      </w:r>
    </w:p>
    <w:p w14:paraId="7A04C88D" w14:textId="60BB5124" w:rsidR="001835C4" w:rsidRDefault="001835C4">
      <w:pPr>
        <w:rPr>
          <w:rFonts w:ascii="Times New Roman" w:hAnsi="Times New Roman" w:cs="Times New Roman"/>
          <w:sz w:val="24"/>
          <w:szCs w:val="24"/>
        </w:rPr>
      </w:pPr>
      <w:r>
        <w:rPr>
          <w:rFonts w:ascii="Times New Roman" w:hAnsi="Times New Roman" w:cs="Times New Roman"/>
          <w:sz w:val="24"/>
          <w:szCs w:val="24"/>
        </w:rPr>
        <w:t xml:space="preserve">Like KO, demand for primary soda products is down. Pepsi Co. believes being </w:t>
      </w:r>
      <w:r w:rsidR="000C2665">
        <w:rPr>
          <w:rFonts w:ascii="Times New Roman" w:hAnsi="Times New Roman" w:cs="Times New Roman"/>
          <w:sz w:val="24"/>
          <w:szCs w:val="24"/>
        </w:rPr>
        <w:t>a</w:t>
      </w:r>
      <w:r>
        <w:rPr>
          <w:rFonts w:ascii="Times New Roman" w:hAnsi="Times New Roman" w:cs="Times New Roman"/>
          <w:sz w:val="24"/>
          <w:szCs w:val="24"/>
        </w:rPr>
        <w:t xml:space="preserve"> socially responsible and environmentally </w:t>
      </w:r>
      <w:r w:rsidR="000C2665">
        <w:rPr>
          <w:rFonts w:ascii="Times New Roman" w:hAnsi="Times New Roman" w:cs="Times New Roman"/>
          <w:sz w:val="24"/>
          <w:szCs w:val="24"/>
        </w:rPr>
        <w:t>company, offering healthy low-</w:t>
      </w:r>
      <w:r w:rsidR="001D520B">
        <w:rPr>
          <w:rFonts w:ascii="Times New Roman" w:hAnsi="Times New Roman" w:cs="Times New Roman"/>
          <w:sz w:val="24"/>
          <w:szCs w:val="24"/>
        </w:rPr>
        <w:t>calorie</w:t>
      </w:r>
      <w:r w:rsidR="000C2665">
        <w:rPr>
          <w:rFonts w:ascii="Times New Roman" w:hAnsi="Times New Roman" w:cs="Times New Roman"/>
          <w:sz w:val="24"/>
          <w:szCs w:val="24"/>
        </w:rPr>
        <w:t xml:space="preserve">, low-sugar, low-serving size products made with minimal environmental impact will drive demand for their products. </w:t>
      </w:r>
      <w:r w:rsidR="001D520B">
        <w:rPr>
          <w:rFonts w:ascii="Times New Roman" w:hAnsi="Times New Roman" w:cs="Times New Roman"/>
          <w:sz w:val="24"/>
          <w:szCs w:val="24"/>
        </w:rPr>
        <w:t xml:space="preserve">But being able to offer healthy products without sugars, syrups, and chemical additives will post a </w:t>
      </w:r>
      <w:r w:rsidR="001D520B">
        <w:rPr>
          <w:rFonts w:ascii="Times New Roman" w:hAnsi="Times New Roman" w:cs="Times New Roman"/>
          <w:sz w:val="24"/>
          <w:szCs w:val="24"/>
        </w:rPr>
        <w:lastRenderedPageBreak/>
        <w:t xml:space="preserve">challenge. </w:t>
      </w:r>
      <w:r w:rsidR="000C2665">
        <w:rPr>
          <w:rFonts w:ascii="Times New Roman" w:hAnsi="Times New Roman" w:cs="Times New Roman"/>
          <w:sz w:val="24"/>
          <w:szCs w:val="24"/>
        </w:rPr>
        <w:t xml:space="preserve">They do not use the ESG metric like their competitor, but </w:t>
      </w:r>
      <w:r w:rsidR="001D520B">
        <w:rPr>
          <w:rFonts w:ascii="Times New Roman" w:hAnsi="Times New Roman" w:cs="Times New Roman"/>
          <w:sz w:val="24"/>
          <w:szCs w:val="24"/>
        </w:rPr>
        <w:t xml:space="preserve">are focused on environmental impact perception. PEP is focused on their specific water product offerings and increasing sales volume in its sparkling water products. Moreover, the quality source of where they get their water.  </w:t>
      </w:r>
    </w:p>
    <w:p w14:paraId="626C1145" w14:textId="46A7E8B3" w:rsidR="00643C92" w:rsidRDefault="00643C92">
      <w:pPr>
        <w:rPr>
          <w:rFonts w:ascii="Times New Roman" w:hAnsi="Times New Roman" w:cs="Times New Roman"/>
          <w:sz w:val="24"/>
          <w:szCs w:val="24"/>
        </w:rPr>
      </w:pPr>
      <w:r>
        <w:rPr>
          <w:rFonts w:ascii="Times New Roman" w:hAnsi="Times New Roman" w:cs="Times New Roman"/>
          <w:sz w:val="24"/>
          <w:szCs w:val="24"/>
        </w:rPr>
        <w:t xml:space="preserve">Like KO, Pepsi Co. recognizes the COVID lockdowns shifting consumption from online platforms where they are limited in reaching customers. Pepsi is investing in their own online sales platform to </w:t>
      </w:r>
      <w:r w:rsidR="00585A81">
        <w:rPr>
          <w:rFonts w:ascii="Times New Roman" w:hAnsi="Times New Roman" w:cs="Times New Roman"/>
          <w:sz w:val="24"/>
          <w:szCs w:val="24"/>
        </w:rPr>
        <w:t>increase consumer reach.</w:t>
      </w:r>
    </w:p>
    <w:p w14:paraId="3296F611" w14:textId="646AB840" w:rsidR="00585A81" w:rsidRDefault="00585A81">
      <w:pPr>
        <w:rPr>
          <w:rFonts w:ascii="Times New Roman" w:hAnsi="Times New Roman" w:cs="Times New Roman"/>
          <w:sz w:val="24"/>
          <w:szCs w:val="24"/>
        </w:rPr>
      </w:pPr>
    </w:p>
    <w:p w14:paraId="6D2B536D" w14:textId="322C772E" w:rsidR="00585A81" w:rsidRDefault="00585A81">
      <w:pPr>
        <w:rPr>
          <w:rFonts w:ascii="Times New Roman" w:hAnsi="Times New Roman" w:cs="Times New Roman"/>
          <w:sz w:val="24"/>
          <w:szCs w:val="24"/>
        </w:rPr>
      </w:pPr>
    </w:p>
    <w:p w14:paraId="6EE4FFD7" w14:textId="6237DD08" w:rsidR="00585A81" w:rsidRDefault="00585A81">
      <w:pPr>
        <w:rPr>
          <w:rFonts w:ascii="Times New Roman" w:hAnsi="Times New Roman" w:cs="Times New Roman"/>
          <w:sz w:val="24"/>
          <w:szCs w:val="24"/>
        </w:rPr>
      </w:pPr>
    </w:p>
    <w:p w14:paraId="1427548D" w14:textId="43E35421" w:rsidR="00585A81" w:rsidRDefault="00585A81">
      <w:pPr>
        <w:rPr>
          <w:rFonts w:ascii="Times New Roman" w:hAnsi="Times New Roman" w:cs="Times New Roman"/>
          <w:sz w:val="24"/>
          <w:szCs w:val="24"/>
        </w:rPr>
      </w:pPr>
    </w:p>
    <w:p w14:paraId="031F4498" w14:textId="61971D16" w:rsidR="00585A81" w:rsidRDefault="00585A81">
      <w:pPr>
        <w:rPr>
          <w:rFonts w:ascii="Times New Roman" w:hAnsi="Times New Roman" w:cs="Times New Roman"/>
          <w:sz w:val="24"/>
          <w:szCs w:val="24"/>
        </w:rPr>
      </w:pPr>
    </w:p>
    <w:p w14:paraId="7D43B2BA" w14:textId="292C8355" w:rsidR="00585A81" w:rsidRDefault="00585A81">
      <w:pPr>
        <w:rPr>
          <w:rFonts w:ascii="Times New Roman" w:hAnsi="Times New Roman" w:cs="Times New Roman"/>
          <w:sz w:val="24"/>
          <w:szCs w:val="24"/>
        </w:rPr>
      </w:pPr>
    </w:p>
    <w:p w14:paraId="2BB70DCD" w14:textId="2899349C" w:rsidR="00585A81" w:rsidRDefault="00585A81">
      <w:pPr>
        <w:rPr>
          <w:rFonts w:ascii="Times New Roman" w:hAnsi="Times New Roman" w:cs="Times New Roman"/>
          <w:sz w:val="24"/>
          <w:szCs w:val="24"/>
        </w:rPr>
      </w:pPr>
    </w:p>
    <w:p w14:paraId="188414EC" w14:textId="1E2369D1" w:rsidR="00585A81" w:rsidRDefault="00585A81">
      <w:pPr>
        <w:rPr>
          <w:rFonts w:ascii="Times New Roman" w:hAnsi="Times New Roman" w:cs="Times New Roman"/>
          <w:sz w:val="24"/>
          <w:szCs w:val="24"/>
        </w:rPr>
      </w:pPr>
    </w:p>
    <w:p w14:paraId="4F9F46B9" w14:textId="2C691235" w:rsidR="00585A81" w:rsidRDefault="00585A81">
      <w:pPr>
        <w:rPr>
          <w:rFonts w:ascii="Times New Roman" w:hAnsi="Times New Roman" w:cs="Times New Roman"/>
          <w:sz w:val="24"/>
          <w:szCs w:val="24"/>
        </w:rPr>
      </w:pPr>
    </w:p>
    <w:p w14:paraId="55EC3D6A" w14:textId="62FCF441" w:rsidR="00585A81" w:rsidRDefault="00585A81">
      <w:pPr>
        <w:rPr>
          <w:rFonts w:ascii="Times New Roman" w:hAnsi="Times New Roman" w:cs="Times New Roman"/>
          <w:sz w:val="24"/>
          <w:szCs w:val="24"/>
        </w:rPr>
      </w:pPr>
    </w:p>
    <w:p w14:paraId="1D335F45" w14:textId="56DAA4FE" w:rsidR="00585A81" w:rsidRDefault="00585A81">
      <w:pPr>
        <w:rPr>
          <w:rFonts w:ascii="Times New Roman" w:hAnsi="Times New Roman" w:cs="Times New Roman"/>
          <w:sz w:val="24"/>
          <w:szCs w:val="24"/>
        </w:rPr>
      </w:pPr>
    </w:p>
    <w:p w14:paraId="1CF896B1" w14:textId="07B9C5CB" w:rsidR="00585A81" w:rsidRDefault="00585A81">
      <w:pPr>
        <w:rPr>
          <w:rFonts w:ascii="Times New Roman" w:hAnsi="Times New Roman" w:cs="Times New Roman"/>
          <w:sz w:val="24"/>
          <w:szCs w:val="24"/>
        </w:rPr>
      </w:pPr>
    </w:p>
    <w:p w14:paraId="7CE5A6C7" w14:textId="113C1CAD" w:rsidR="00585A81" w:rsidRDefault="00585A81">
      <w:pPr>
        <w:rPr>
          <w:rFonts w:ascii="Times New Roman" w:hAnsi="Times New Roman" w:cs="Times New Roman"/>
          <w:sz w:val="24"/>
          <w:szCs w:val="24"/>
        </w:rPr>
      </w:pPr>
    </w:p>
    <w:p w14:paraId="4A24E067" w14:textId="03C1BB2B" w:rsidR="00585A81" w:rsidRDefault="00585A81">
      <w:pPr>
        <w:rPr>
          <w:rFonts w:ascii="Times New Roman" w:hAnsi="Times New Roman" w:cs="Times New Roman"/>
          <w:sz w:val="24"/>
          <w:szCs w:val="24"/>
        </w:rPr>
      </w:pPr>
    </w:p>
    <w:p w14:paraId="3A361BBD" w14:textId="48D30790" w:rsidR="00585A81" w:rsidRDefault="00585A81">
      <w:pPr>
        <w:rPr>
          <w:rFonts w:ascii="Times New Roman" w:hAnsi="Times New Roman" w:cs="Times New Roman"/>
          <w:sz w:val="24"/>
          <w:szCs w:val="24"/>
        </w:rPr>
      </w:pPr>
    </w:p>
    <w:p w14:paraId="62D5FA59" w14:textId="45F21CC5" w:rsidR="00585A81" w:rsidRDefault="00585A81">
      <w:pPr>
        <w:rPr>
          <w:rFonts w:ascii="Times New Roman" w:hAnsi="Times New Roman" w:cs="Times New Roman"/>
          <w:sz w:val="24"/>
          <w:szCs w:val="24"/>
        </w:rPr>
      </w:pPr>
    </w:p>
    <w:p w14:paraId="744695BE" w14:textId="52EB949B" w:rsidR="00585A81" w:rsidRDefault="00585A81">
      <w:pPr>
        <w:rPr>
          <w:rFonts w:ascii="Times New Roman" w:hAnsi="Times New Roman" w:cs="Times New Roman"/>
          <w:sz w:val="24"/>
          <w:szCs w:val="24"/>
        </w:rPr>
      </w:pPr>
    </w:p>
    <w:p w14:paraId="32B0DE71" w14:textId="77777777" w:rsidR="00585A81" w:rsidRDefault="00585A81">
      <w:pPr>
        <w:rPr>
          <w:rFonts w:ascii="Times New Roman" w:hAnsi="Times New Roman" w:cs="Times New Roman"/>
          <w:sz w:val="24"/>
          <w:szCs w:val="24"/>
        </w:rPr>
      </w:pPr>
    </w:p>
    <w:p w14:paraId="51B25F86" w14:textId="430780BB" w:rsidR="00ED1AAE" w:rsidRDefault="00ED1AAE">
      <w:pPr>
        <w:rPr>
          <w:rFonts w:ascii="Times New Roman" w:hAnsi="Times New Roman" w:cs="Times New Roman"/>
          <w:sz w:val="24"/>
          <w:szCs w:val="24"/>
        </w:rPr>
      </w:pPr>
    </w:p>
    <w:p w14:paraId="11E252BD" w14:textId="328CD71B" w:rsidR="00ED1AAE" w:rsidRDefault="00ED1AAE">
      <w:pPr>
        <w:rPr>
          <w:rFonts w:ascii="Times New Roman" w:hAnsi="Times New Roman" w:cs="Times New Roman"/>
          <w:sz w:val="24"/>
          <w:szCs w:val="24"/>
        </w:rPr>
      </w:pPr>
    </w:p>
    <w:p w14:paraId="6024F45C" w14:textId="04BF4731" w:rsidR="00ED1AAE" w:rsidRDefault="00ED1AAE">
      <w:pPr>
        <w:rPr>
          <w:rFonts w:ascii="Times New Roman" w:hAnsi="Times New Roman" w:cs="Times New Roman"/>
          <w:sz w:val="24"/>
          <w:szCs w:val="24"/>
        </w:rPr>
      </w:pPr>
    </w:p>
    <w:p w14:paraId="391AC724" w14:textId="53568D96" w:rsidR="00ED1AAE" w:rsidRDefault="00ED1AAE">
      <w:pPr>
        <w:rPr>
          <w:rFonts w:ascii="Times New Roman" w:hAnsi="Times New Roman" w:cs="Times New Roman"/>
          <w:sz w:val="24"/>
          <w:szCs w:val="24"/>
        </w:rPr>
      </w:pPr>
    </w:p>
    <w:p w14:paraId="3A82A7B5" w14:textId="77777777" w:rsidR="00ED1AAE" w:rsidRDefault="00ED1AAE">
      <w:pPr>
        <w:rPr>
          <w:rFonts w:ascii="Times New Roman" w:hAnsi="Times New Roman" w:cs="Times New Roman"/>
          <w:sz w:val="24"/>
          <w:szCs w:val="24"/>
        </w:rPr>
      </w:pPr>
    </w:p>
    <w:p w14:paraId="2BE25FBA" w14:textId="267F3239" w:rsidR="00ED1AAE" w:rsidRDefault="00ED1A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D1AAE" w14:paraId="04D18D77" w14:textId="77777777" w:rsidTr="00ED1AAE">
        <w:tc>
          <w:tcPr>
            <w:tcW w:w="3116" w:type="dxa"/>
          </w:tcPr>
          <w:p w14:paraId="512EE858" w14:textId="60E5AFDB" w:rsidR="00ED1AAE" w:rsidRDefault="00ED1AAE">
            <w:pPr>
              <w:rPr>
                <w:rFonts w:ascii="Times New Roman" w:hAnsi="Times New Roman" w:cs="Times New Roman"/>
                <w:sz w:val="24"/>
                <w:szCs w:val="24"/>
              </w:rPr>
            </w:pPr>
            <w:r>
              <w:rPr>
                <w:rFonts w:ascii="Times New Roman" w:hAnsi="Times New Roman" w:cs="Times New Roman"/>
                <w:sz w:val="24"/>
                <w:szCs w:val="24"/>
              </w:rPr>
              <w:t>Revenue Challenge</w:t>
            </w:r>
          </w:p>
        </w:tc>
        <w:tc>
          <w:tcPr>
            <w:tcW w:w="3117" w:type="dxa"/>
          </w:tcPr>
          <w:p w14:paraId="0F944AEB" w14:textId="23399A7D" w:rsidR="00ED1AAE" w:rsidRDefault="00ED1AAE">
            <w:pPr>
              <w:rPr>
                <w:rFonts w:ascii="Times New Roman" w:hAnsi="Times New Roman" w:cs="Times New Roman"/>
                <w:sz w:val="24"/>
                <w:szCs w:val="24"/>
              </w:rPr>
            </w:pPr>
            <w:r>
              <w:rPr>
                <w:rFonts w:ascii="Times New Roman" w:hAnsi="Times New Roman" w:cs="Times New Roman"/>
                <w:sz w:val="24"/>
                <w:szCs w:val="24"/>
              </w:rPr>
              <w:t>KO</w:t>
            </w:r>
          </w:p>
        </w:tc>
        <w:tc>
          <w:tcPr>
            <w:tcW w:w="3117" w:type="dxa"/>
          </w:tcPr>
          <w:p w14:paraId="470ACFC5" w14:textId="778EEA82" w:rsidR="00ED1AAE" w:rsidRDefault="00ED1AAE">
            <w:pPr>
              <w:rPr>
                <w:rFonts w:ascii="Times New Roman" w:hAnsi="Times New Roman" w:cs="Times New Roman"/>
                <w:sz w:val="24"/>
                <w:szCs w:val="24"/>
              </w:rPr>
            </w:pPr>
            <w:r>
              <w:rPr>
                <w:rFonts w:ascii="Times New Roman" w:hAnsi="Times New Roman" w:cs="Times New Roman"/>
                <w:sz w:val="24"/>
                <w:szCs w:val="24"/>
              </w:rPr>
              <w:t>PEP</w:t>
            </w:r>
          </w:p>
        </w:tc>
      </w:tr>
      <w:tr w:rsidR="00ED1AAE" w14:paraId="6CE0071E" w14:textId="77777777" w:rsidTr="00ED1AAE">
        <w:tc>
          <w:tcPr>
            <w:tcW w:w="3116" w:type="dxa"/>
          </w:tcPr>
          <w:p w14:paraId="762CB9FC" w14:textId="19A87485" w:rsidR="00ED1AAE" w:rsidRDefault="00ED1AAE">
            <w:pPr>
              <w:rPr>
                <w:rFonts w:ascii="Times New Roman" w:hAnsi="Times New Roman" w:cs="Times New Roman"/>
                <w:sz w:val="24"/>
                <w:szCs w:val="24"/>
              </w:rPr>
            </w:pPr>
            <w:r>
              <w:rPr>
                <w:rFonts w:ascii="Times New Roman" w:hAnsi="Times New Roman" w:cs="Times New Roman"/>
                <w:sz w:val="24"/>
                <w:szCs w:val="24"/>
              </w:rPr>
              <w:t xml:space="preserve">COVID-19 </w:t>
            </w:r>
          </w:p>
        </w:tc>
        <w:tc>
          <w:tcPr>
            <w:tcW w:w="3117" w:type="dxa"/>
          </w:tcPr>
          <w:p w14:paraId="2CE7FBBF" w14:textId="24E0350B" w:rsidR="00ED1AAE" w:rsidRDefault="00737A53">
            <w:pPr>
              <w:rPr>
                <w:rFonts w:ascii="Times New Roman" w:hAnsi="Times New Roman" w:cs="Times New Roman"/>
                <w:sz w:val="24"/>
                <w:szCs w:val="24"/>
              </w:rPr>
            </w:pPr>
            <w:r>
              <w:rPr>
                <w:rFonts w:ascii="Times New Roman" w:hAnsi="Times New Roman" w:cs="Times New Roman"/>
                <w:sz w:val="24"/>
                <w:szCs w:val="24"/>
              </w:rPr>
              <w:t xml:space="preserve">Foreign sales account for </w:t>
            </w:r>
            <w:r w:rsidRPr="00737A53">
              <w:rPr>
                <w:rFonts w:ascii="Times New Roman" w:hAnsi="Times New Roman" w:cs="Times New Roman"/>
                <w:b/>
                <w:bCs/>
                <w:sz w:val="24"/>
                <w:szCs w:val="24"/>
              </w:rPr>
              <w:t>69%</w:t>
            </w:r>
            <w:r>
              <w:rPr>
                <w:rFonts w:ascii="Times New Roman" w:hAnsi="Times New Roman" w:cs="Times New Roman"/>
                <w:sz w:val="24"/>
                <w:szCs w:val="24"/>
              </w:rPr>
              <w:t xml:space="preserve"> of revenues in FY 2021.</w:t>
            </w:r>
            <w:r w:rsidR="006A4973">
              <w:rPr>
                <w:rFonts w:ascii="Times New Roman" w:hAnsi="Times New Roman" w:cs="Times New Roman"/>
                <w:sz w:val="24"/>
                <w:szCs w:val="24"/>
              </w:rPr>
              <w:t xml:space="preserve"> KO operates in more than 200 countries.</w:t>
            </w:r>
            <w:r>
              <w:rPr>
                <w:rFonts w:ascii="Times New Roman" w:hAnsi="Times New Roman" w:cs="Times New Roman"/>
                <w:sz w:val="24"/>
                <w:szCs w:val="24"/>
              </w:rPr>
              <w:t xml:space="preserve"> </w:t>
            </w:r>
            <w:r w:rsidR="00ED1AAE">
              <w:rPr>
                <w:rFonts w:ascii="Times New Roman" w:hAnsi="Times New Roman" w:cs="Times New Roman"/>
                <w:sz w:val="24"/>
                <w:szCs w:val="24"/>
              </w:rPr>
              <w:t xml:space="preserve">Foreign government COVID policies created supply chain issues and increased costs to manufacture and distribute in foreign territories. </w:t>
            </w:r>
          </w:p>
        </w:tc>
        <w:tc>
          <w:tcPr>
            <w:tcW w:w="3117" w:type="dxa"/>
          </w:tcPr>
          <w:p w14:paraId="5AB1AA53" w14:textId="17BAA5CE" w:rsidR="00ED1AAE" w:rsidRDefault="00737A53">
            <w:pPr>
              <w:rPr>
                <w:rFonts w:ascii="Times New Roman" w:hAnsi="Times New Roman" w:cs="Times New Roman"/>
                <w:sz w:val="24"/>
                <w:szCs w:val="24"/>
              </w:rPr>
            </w:pPr>
            <w:r>
              <w:rPr>
                <w:rFonts w:ascii="Times New Roman" w:hAnsi="Times New Roman" w:cs="Times New Roman"/>
                <w:sz w:val="24"/>
                <w:szCs w:val="24"/>
              </w:rPr>
              <w:t xml:space="preserve">Foreign sales account for </w:t>
            </w:r>
            <w:r w:rsidRPr="00737A53">
              <w:rPr>
                <w:rFonts w:ascii="Times New Roman" w:hAnsi="Times New Roman" w:cs="Times New Roman"/>
                <w:b/>
                <w:bCs/>
                <w:sz w:val="24"/>
                <w:szCs w:val="24"/>
              </w:rPr>
              <w:t>44%</w:t>
            </w:r>
            <w:r>
              <w:rPr>
                <w:rFonts w:ascii="Times New Roman" w:hAnsi="Times New Roman" w:cs="Times New Roman"/>
                <w:sz w:val="24"/>
                <w:szCs w:val="24"/>
              </w:rPr>
              <w:t xml:space="preserve"> of revenues in FY 2021. </w:t>
            </w:r>
            <w:r w:rsidR="006A4973">
              <w:rPr>
                <w:rFonts w:ascii="Times New Roman" w:hAnsi="Times New Roman" w:cs="Times New Roman"/>
                <w:sz w:val="24"/>
                <w:szCs w:val="24"/>
              </w:rPr>
              <w:t xml:space="preserve">PEP operates in more than 200 countries. </w:t>
            </w:r>
            <w:r w:rsidR="00ED1AAE">
              <w:rPr>
                <w:rFonts w:ascii="Times New Roman" w:hAnsi="Times New Roman" w:cs="Times New Roman"/>
                <w:sz w:val="24"/>
                <w:szCs w:val="24"/>
              </w:rPr>
              <w:t>Foreign government COVID policies created supply issues and increased costs to manufacture and distribute</w:t>
            </w:r>
            <w:r w:rsidR="00ED1AAE">
              <w:rPr>
                <w:rFonts w:ascii="Times New Roman" w:hAnsi="Times New Roman" w:cs="Times New Roman"/>
                <w:sz w:val="24"/>
                <w:szCs w:val="24"/>
              </w:rPr>
              <w:t xml:space="preserve"> in foreign territories</w:t>
            </w:r>
            <w:r w:rsidR="00ED1AAE">
              <w:rPr>
                <w:rFonts w:ascii="Times New Roman" w:hAnsi="Times New Roman" w:cs="Times New Roman"/>
                <w:sz w:val="24"/>
                <w:szCs w:val="24"/>
              </w:rPr>
              <w:t xml:space="preserve">. </w:t>
            </w:r>
          </w:p>
        </w:tc>
      </w:tr>
      <w:tr w:rsidR="00ED1AAE" w14:paraId="2C7C05ED" w14:textId="77777777" w:rsidTr="00ED1AAE">
        <w:tc>
          <w:tcPr>
            <w:tcW w:w="3116" w:type="dxa"/>
          </w:tcPr>
          <w:p w14:paraId="072E2075" w14:textId="01FEEEF6" w:rsidR="00ED1AAE" w:rsidRDefault="00ED1AAE">
            <w:pPr>
              <w:rPr>
                <w:rFonts w:ascii="Times New Roman" w:hAnsi="Times New Roman" w:cs="Times New Roman"/>
                <w:sz w:val="24"/>
                <w:szCs w:val="24"/>
              </w:rPr>
            </w:pPr>
            <w:r>
              <w:rPr>
                <w:rFonts w:ascii="Times New Roman" w:hAnsi="Times New Roman" w:cs="Times New Roman"/>
                <w:sz w:val="24"/>
                <w:szCs w:val="24"/>
              </w:rPr>
              <w:t>Vendor Issues</w:t>
            </w:r>
          </w:p>
        </w:tc>
        <w:tc>
          <w:tcPr>
            <w:tcW w:w="3117" w:type="dxa"/>
          </w:tcPr>
          <w:p w14:paraId="0F9FEDD1" w14:textId="0EB356F5" w:rsidR="00ED1AAE" w:rsidRDefault="00863606">
            <w:pPr>
              <w:rPr>
                <w:rFonts w:ascii="Times New Roman" w:hAnsi="Times New Roman" w:cs="Times New Roman"/>
                <w:sz w:val="24"/>
                <w:szCs w:val="24"/>
              </w:rPr>
            </w:pPr>
            <w:r>
              <w:rPr>
                <w:rFonts w:ascii="Times New Roman" w:hAnsi="Times New Roman" w:cs="Times New Roman"/>
                <w:sz w:val="24"/>
                <w:szCs w:val="24"/>
              </w:rPr>
              <w:t xml:space="preserve">Vendors have been financially impacted and could face credit issues and bankruptcy due to COVID policies. KO cannot help these issues. </w:t>
            </w:r>
            <w:r w:rsidR="00737A53">
              <w:rPr>
                <w:rFonts w:ascii="Times New Roman" w:hAnsi="Times New Roman" w:cs="Times New Roman"/>
                <w:sz w:val="24"/>
                <w:szCs w:val="24"/>
              </w:rPr>
              <w:t>KO is focused on acquiring controlling ownership interest in vendor companies</w:t>
            </w:r>
            <w:r w:rsidR="0047591C">
              <w:rPr>
                <w:rFonts w:ascii="Times New Roman" w:hAnsi="Times New Roman" w:cs="Times New Roman"/>
                <w:sz w:val="24"/>
                <w:szCs w:val="24"/>
              </w:rPr>
              <w:t xml:space="preserve"> that generate value to brand</w:t>
            </w:r>
            <w:r w:rsidR="00585A81">
              <w:rPr>
                <w:rFonts w:ascii="Times New Roman" w:hAnsi="Times New Roman" w:cs="Times New Roman"/>
                <w:sz w:val="24"/>
                <w:szCs w:val="24"/>
              </w:rPr>
              <w:t xml:space="preserve">, especially bottling operations becoming company-owned. </w:t>
            </w:r>
            <w:r w:rsidR="00643C92">
              <w:rPr>
                <w:rFonts w:ascii="Times New Roman" w:hAnsi="Times New Roman" w:cs="Times New Roman"/>
                <w:sz w:val="24"/>
                <w:szCs w:val="24"/>
              </w:rPr>
              <w:t xml:space="preserve">They express sales in Unit Case Sales (UCS). </w:t>
            </w:r>
          </w:p>
        </w:tc>
        <w:tc>
          <w:tcPr>
            <w:tcW w:w="3117" w:type="dxa"/>
          </w:tcPr>
          <w:p w14:paraId="05731F14" w14:textId="583687BD" w:rsidR="00ED1AAE" w:rsidRDefault="00775B0E">
            <w:pPr>
              <w:rPr>
                <w:rFonts w:ascii="Times New Roman" w:hAnsi="Times New Roman" w:cs="Times New Roman"/>
                <w:sz w:val="24"/>
                <w:szCs w:val="24"/>
              </w:rPr>
            </w:pPr>
            <w:r>
              <w:rPr>
                <w:rFonts w:ascii="Times New Roman" w:hAnsi="Times New Roman" w:cs="Times New Roman"/>
                <w:sz w:val="24"/>
                <w:szCs w:val="24"/>
              </w:rPr>
              <w:t xml:space="preserve">Vendors have been financially impacted and could face credit issues and bankruptcy due to COVID policies. </w:t>
            </w:r>
            <w:r>
              <w:rPr>
                <w:rFonts w:ascii="Times New Roman" w:hAnsi="Times New Roman" w:cs="Times New Roman"/>
                <w:sz w:val="24"/>
                <w:szCs w:val="24"/>
              </w:rPr>
              <w:t>PEP</w:t>
            </w:r>
            <w:r>
              <w:rPr>
                <w:rFonts w:ascii="Times New Roman" w:hAnsi="Times New Roman" w:cs="Times New Roman"/>
                <w:sz w:val="24"/>
                <w:szCs w:val="24"/>
              </w:rPr>
              <w:t xml:space="preserve"> cannot help these issues. </w:t>
            </w:r>
            <w:r w:rsidR="00ED1AAE">
              <w:rPr>
                <w:rFonts w:ascii="Times New Roman" w:hAnsi="Times New Roman" w:cs="Times New Roman"/>
                <w:sz w:val="24"/>
                <w:szCs w:val="24"/>
              </w:rPr>
              <w:t>PEP board members also serve as board members on vendor companies</w:t>
            </w:r>
            <w:r w:rsidR="00737A53">
              <w:rPr>
                <w:rFonts w:ascii="Times New Roman" w:hAnsi="Times New Roman" w:cs="Times New Roman"/>
                <w:sz w:val="24"/>
                <w:szCs w:val="24"/>
              </w:rPr>
              <w:t>, an negotiate favorable contracts</w:t>
            </w:r>
            <w:r w:rsidR="00ED1AAE">
              <w:rPr>
                <w:rFonts w:ascii="Times New Roman" w:hAnsi="Times New Roman" w:cs="Times New Roman"/>
                <w:sz w:val="24"/>
                <w:szCs w:val="24"/>
              </w:rPr>
              <w:t xml:space="preserve">. </w:t>
            </w:r>
            <w:r w:rsidR="006C3517">
              <w:rPr>
                <w:rFonts w:ascii="Times New Roman" w:hAnsi="Times New Roman" w:cs="Times New Roman"/>
                <w:sz w:val="24"/>
                <w:szCs w:val="24"/>
              </w:rPr>
              <w:t>They have non-controlling interest in supply chain partners.</w:t>
            </w:r>
            <w:r w:rsidR="00585A81">
              <w:rPr>
                <w:rFonts w:ascii="Times New Roman" w:hAnsi="Times New Roman" w:cs="Times New Roman"/>
                <w:sz w:val="24"/>
                <w:szCs w:val="24"/>
              </w:rPr>
              <w:t xml:space="preserve"> Bottling partners are independent</w:t>
            </w:r>
            <w:r w:rsidR="00791D3B">
              <w:rPr>
                <w:rFonts w:ascii="Times New Roman" w:hAnsi="Times New Roman" w:cs="Times New Roman"/>
                <w:sz w:val="24"/>
                <w:szCs w:val="24"/>
              </w:rPr>
              <w:t>, and make made-go-products with less reliance on needing outside ingredients</w:t>
            </w:r>
            <w:r w:rsidR="00585A81">
              <w:rPr>
                <w:rFonts w:ascii="Times New Roman" w:hAnsi="Times New Roman" w:cs="Times New Roman"/>
                <w:sz w:val="24"/>
                <w:szCs w:val="24"/>
              </w:rPr>
              <w:t>.</w:t>
            </w:r>
            <w:r w:rsidR="006C3517">
              <w:rPr>
                <w:rFonts w:ascii="Times New Roman" w:hAnsi="Times New Roman" w:cs="Times New Roman"/>
                <w:sz w:val="24"/>
                <w:szCs w:val="24"/>
              </w:rPr>
              <w:t xml:space="preserve"> </w:t>
            </w:r>
            <w:r w:rsidR="00643C92">
              <w:rPr>
                <w:rFonts w:ascii="Times New Roman" w:hAnsi="Times New Roman" w:cs="Times New Roman"/>
                <w:sz w:val="24"/>
                <w:szCs w:val="24"/>
              </w:rPr>
              <w:t>They express sales in Bottler Case Sales (BCS)</w:t>
            </w:r>
          </w:p>
        </w:tc>
      </w:tr>
      <w:tr w:rsidR="00ED1AAE" w14:paraId="4B8A754C" w14:textId="77777777" w:rsidTr="00ED1AAE">
        <w:tc>
          <w:tcPr>
            <w:tcW w:w="3116" w:type="dxa"/>
          </w:tcPr>
          <w:p w14:paraId="3351D071" w14:textId="42F208F4" w:rsidR="00ED1AAE" w:rsidRDefault="0047591C">
            <w:pPr>
              <w:rPr>
                <w:rFonts w:ascii="Times New Roman" w:hAnsi="Times New Roman" w:cs="Times New Roman"/>
                <w:sz w:val="24"/>
                <w:szCs w:val="24"/>
              </w:rPr>
            </w:pPr>
            <w:r>
              <w:rPr>
                <w:rFonts w:ascii="Times New Roman" w:hAnsi="Times New Roman" w:cs="Times New Roman"/>
                <w:sz w:val="24"/>
                <w:szCs w:val="24"/>
              </w:rPr>
              <w:t>Demand for product</w:t>
            </w:r>
          </w:p>
        </w:tc>
        <w:tc>
          <w:tcPr>
            <w:tcW w:w="3117" w:type="dxa"/>
          </w:tcPr>
          <w:p w14:paraId="64B63B24" w14:textId="3709729A" w:rsidR="00ED1AAE" w:rsidRDefault="00775B0E">
            <w:pPr>
              <w:rPr>
                <w:rFonts w:ascii="Times New Roman" w:hAnsi="Times New Roman" w:cs="Times New Roman"/>
                <w:sz w:val="24"/>
                <w:szCs w:val="24"/>
              </w:rPr>
            </w:pPr>
            <w:r>
              <w:rPr>
                <w:rFonts w:ascii="Times New Roman" w:hAnsi="Times New Roman" w:cs="Times New Roman"/>
                <w:sz w:val="24"/>
                <w:szCs w:val="24"/>
              </w:rPr>
              <w:t xml:space="preserve">61% of revenues came from </w:t>
            </w:r>
            <w:r w:rsidRPr="006A4973">
              <w:rPr>
                <w:rFonts w:ascii="Times New Roman" w:hAnsi="Times New Roman" w:cs="Times New Roman"/>
                <w:sz w:val="24"/>
                <w:szCs w:val="24"/>
                <w:u w:val="single"/>
              </w:rPr>
              <w:t>derivative products</w:t>
            </w:r>
            <w:r>
              <w:rPr>
                <w:rFonts w:ascii="Times New Roman" w:hAnsi="Times New Roman" w:cs="Times New Roman"/>
                <w:sz w:val="24"/>
                <w:szCs w:val="24"/>
              </w:rPr>
              <w:t xml:space="preserve">, and not core soda products. </w:t>
            </w:r>
            <w:r w:rsidR="00ED1AAE">
              <w:rPr>
                <w:rFonts w:ascii="Times New Roman" w:hAnsi="Times New Roman" w:cs="Times New Roman"/>
                <w:sz w:val="24"/>
                <w:szCs w:val="24"/>
              </w:rPr>
              <w:t xml:space="preserve">Obesity </w:t>
            </w:r>
            <w:r w:rsidR="0047591C">
              <w:rPr>
                <w:rFonts w:ascii="Times New Roman" w:hAnsi="Times New Roman" w:cs="Times New Roman"/>
                <w:sz w:val="24"/>
                <w:szCs w:val="24"/>
              </w:rPr>
              <w:t xml:space="preserve">and environmental </w:t>
            </w:r>
            <w:r w:rsidR="00ED1AAE">
              <w:rPr>
                <w:rFonts w:ascii="Times New Roman" w:hAnsi="Times New Roman" w:cs="Times New Roman"/>
                <w:sz w:val="24"/>
                <w:szCs w:val="24"/>
              </w:rPr>
              <w:t>concerns have lowered demand for</w:t>
            </w:r>
            <w:r w:rsidR="0047591C">
              <w:rPr>
                <w:rFonts w:ascii="Times New Roman" w:hAnsi="Times New Roman" w:cs="Times New Roman"/>
                <w:sz w:val="24"/>
                <w:szCs w:val="24"/>
              </w:rPr>
              <w:t xml:space="preserve"> core</w:t>
            </w:r>
            <w:r w:rsidR="00ED1AAE">
              <w:rPr>
                <w:rFonts w:ascii="Times New Roman" w:hAnsi="Times New Roman" w:cs="Times New Roman"/>
                <w:sz w:val="24"/>
                <w:szCs w:val="24"/>
              </w:rPr>
              <w:t xml:space="preserve"> </w:t>
            </w:r>
            <w:r w:rsidR="0047591C">
              <w:rPr>
                <w:rFonts w:ascii="Times New Roman" w:hAnsi="Times New Roman" w:cs="Times New Roman"/>
                <w:sz w:val="24"/>
                <w:szCs w:val="24"/>
              </w:rPr>
              <w:t xml:space="preserve">soda </w:t>
            </w:r>
            <w:r w:rsidR="00ED1AAE">
              <w:rPr>
                <w:rFonts w:ascii="Times New Roman" w:hAnsi="Times New Roman" w:cs="Times New Roman"/>
                <w:sz w:val="24"/>
                <w:szCs w:val="24"/>
              </w:rPr>
              <w:t>products.</w:t>
            </w:r>
            <w:r w:rsidR="00863606">
              <w:rPr>
                <w:rFonts w:ascii="Times New Roman" w:hAnsi="Times New Roman" w:cs="Times New Roman"/>
                <w:sz w:val="24"/>
                <w:szCs w:val="24"/>
              </w:rPr>
              <w:t xml:space="preserve"> </w:t>
            </w:r>
            <w:r w:rsidR="0047591C">
              <w:rPr>
                <w:rFonts w:ascii="Times New Roman" w:hAnsi="Times New Roman" w:cs="Times New Roman"/>
                <w:sz w:val="24"/>
                <w:szCs w:val="24"/>
              </w:rPr>
              <w:t>KO</w:t>
            </w:r>
            <w:r w:rsidR="00ED1AAE">
              <w:rPr>
                <w:rFonts w:ascii="Times New Roman" w:hAnsi="Times New Roman" w:cs="Times New Roman"/>
                <w:sz w:val="24"/>
                <w:szCs w:val="24"/>
              </w:rPr>
              <w:t xml:space="preserve"> is focused on developing </w:t>
            </w:r>
            <w:r w:rsidR="0047591C">
              <w:rPr>
                <w:rFonts w:ascii="Times New Roman" w:hAnsi="Times New Roman" w:cs="Times New Roman"/>
                <w:sz w:val="24"/>
                <w:szCs w:val="24"/>
              </w:rPr>
              <w:t xml:space="preserve">their ESG metrics to drive demand through responsible product manufacturing and offerings. They are focusing away from regular soda products and </w:t>
            </w:r>
            <w:r w:rsidR="00863606">
              <w:rPr>
                <w:rFonts w:ascii="Times New Roman" w:hAnsi="Times New Roman" w:cs="Times New Roman"/>
                <w:sz w:val="24"/>
                <w:szCs w:val="24"/>
              </w:rPr>
              <w:t>increasing investment in</w:t>
            </w:r>
            <w:r w:rsidR="006A4973">
              <w:rPr>
                <w:rFonts w:ascii="Times New Roman" w:hAnsi="Times New Roman" w:cs="Times New Roman"/>
                <w:sz w:val="24"/>
                <w:szCs w:val="24"/>
              </w:rPr>
              <w:t xml:space="preserve"> product diversification,</w:t>
            </w:r>
            <w:r w:rsidR="00863606">
              <w:rPr>
                <w:rFonts w:ascii="Times New Roman" w:hAnsi="Times New Roman" w:cs="Times New Roman"/>
                <w:sz w:val="24"/>
                <w:szCs w:val="24"/>
              </w:rPr>
              <w:t xml:space="preserve"> </w:t>
            </w:r>
            <w:r w:rsidR="0047591C">
              <w:rPr>
                <w:rFonts w:ascii="Times New Roman" w:hAnsi="Times New Roman" w:cs="Times New Roman"/>
                <w:sz w:val="24"/>
                <w:szCs w:val="24"/>
              </w:rPr>
              <w:t xml:space="preserve">developing low-calorie, </w:t>
            </w:r>
            <w:r w:rsidR="00863606">
              <w:rPr>
                <w:rFonts w:ascii="Times New Roman" w:hAnsi="Times New Roman" w:cs="Times New Roman"/>
                <w:sz w:val="24"/>
                <w:szCs w:val="24"/>
              </w:rPr>
              <w:t xml:space="preserve">low serving size, healthy brand </w:t>
            </w:r>
            <w:r w:rsidR="00863606">
              <w:rPr>
                <w:rFonts w:ascii="Times New Roman" w:hAnsi="Times New Roman" w:cs="Times New Roman"/>
                <w:sz w:val="24"/>
                <w:szCs w:val="24"/>
              </w:rPr>
              <w:lastRenderedPageBreak/>
              <w:t xml:space="preserve">products through their subsidiaries. As well as restricting their marketing to children under 12 years old. </w:t>
            </w:r>
            <w:r w:rsidR="001D520B">
              <w:rPr>
                <w:rFonts w:ascii="Times New Roman" w:hAnsi="Times New Roman" w:cs="Times New Roman"/>
                <w:sz w:val="24"/>
                <w:szCs w:val="24"/>
              </w:rPr>
              <w:t xml:space="preserve"> But there are challenges in not using sugars, chemical additives, that drove </w:t>
            </w:r>
          </w:p>
        </w:tc>
        <w:tc>
          <w:tcPr>
            <w:tcW w:w="3117" w:type="dxa"/>
          </w:tcPr>
          <w:p w14:paraId="3E07C7D8" w14:textId="13F0505E" w:rsidR="00ED1AAE" w:rsidRDefault="0047591C">
            <w:pPr>
              <w:rPr>
                <w:rFonts w:ascii="Times New Roman" w:hAnsi="Times New Roman" w:cs="Times New Roman"/>
                <w:sz w:val="24"/>
                <w:szCs w:val="24"/>
              </w:rPr>
            </w:pPr>
            <w:r>
              <w:rPr>
                <w:rFonts w:ascii="Times New Roman" w:hAnsi="Times New Roman" w:cs="Times New Roman"/>
                <w:sz w:val="24"/>
                <w:szCs w:val="24"/>
              </w:rPr>
              <w:lastRenderedPageBreak/>
              <w:t>Obesity and environmental concerns have lowered demand for core soda products.</w:t>
            </w:r>
            <w:r>
              <w:rPr>
                <w:rFonts w:ascii="Times New Roman" w:hAnsi="Times New Roman" w:cs="Times New Roman"/>
                <w:sz w:val="24"/>
                <w:szCs w:val="24"/>
              </w:rPr>
              <w:t xml:space="preserve"> PEP does not use ESG, but it focused on driving demand with responsible product and manufacturing </w:t>
            </w:r>
            <w:r w:rsidR="00863606">
              <w:rPr>
                <w:rFonts w:ascii="Times New Roman" w:hAnsi="Times New Roman" w:cs="Times New Roman"/>
                <w:sz w:val="24"/>
                <w:szCs w:val="24"/>
              </w:rPr>
              <w:t xml:space="preserve">and offerings. Focused on water-product sourcing. </w:t>
            </w:r>
            <w:r w:rsidR="000C2665">
              <w:rPr>
                <w:rFonts w:ascii="Times New Roman" w:hAnsi="Times New Roman" w:cs="Times New Roman"/>
                <w:sz w:val="24"/>
                <w:szCs w:val="24"/>
              </w:rPr>
              <w:t xml:space="preserve">Especially sparking water. </w:t>
            </w:r>
          </w:p>
        </w:tc>
      </w:tr>
      <w:tr w:rsidR="00863606" w14:paraId="48C7BCDB" w14:textId="77777777" w:rsidTr="00ED1AAE">
        <w:tc>
          <w:tcPr>
            <w:tcW w:w="3116" w:type="dxa"/>
          </w:tcPr>
          <w:p w14:paraId="6FFCB7F5" w14:textId="265D1CFE" w:rsidR="00863606" w:rsidRDefault="00863606">
            <w:pPr>
              <w:rPr>
                <w:rFonts w:ascii="Times New Roman" w:hAnsi="Times New Roman" w:cs="Times New Roman"/>
                <w:sz w:val="24"/>
                <w:szCs w:val="24"/>
              </w:rPr>
            </w:pPr>
            <w:r>
              <w:rPr>
                <w:rFonts w:ascii="Times New Roman" w:hAnsi="Times New Roman" w:cs="Times New Roman"/>
                <w:sz w:val="24"/>
                <w:szCs w:val="24"/>
              </w:rPr>
              <w:t>E-Commerce</w:t>
            </w:r>
          </w:p>
        </w:tc>
        <w:tc>
          <w:tcPr>
            <w:tcW w:w="3117" w:type="dxa"/>
          </w:tcPr>
          <w:p w14:paraId="4D2A2FCF" w14:textId="59F303EB" w:rsidR="00863606" w:rsidRDefault="00863606">
            <w:pPr>
              <w:rPr>
                <w:rFonts w:ascii="Times New Roman" w:hAnsi="Times New Roman" w:cs="Times New Roman"/>
                <w:sz w:val="24"/>
                <w:szCs w:val="24"/>
              </w:rPr>
            </w:pPr>
            <w:r>
              <w:rPr>
                <w:rFonts w:ascii="Times New Roman" w:hAnsi="Times New Roman" w:cs="Times New Roman"/>
                <w:sz w:val="24"/>
                <w:szCs w:val="24"/>
              </w:rPr>
              <w:t>COVID</w:t>
            </w:r>
            <w:r w:rsidR="00775B0E">
              <w:rPr>
                <w:rFonts w:ascii="Times New Roman" w:hAnsi="Times New Roman" w:cs="Times New Roman"/>
                <w:sz w:val="24"/>
                <w:szCs w:val="24"/>
              </w:rPr>
              <w:t xml:space="preserve"> lockdowns</w:t>
            </w:r>
            <w:r>
              <w:rPr>
                <w:rFonts w:ascii="Times New Roman" w:hAnsi="Times New Roman" w:cs="Times New Roman"/>
                <w:sz w:val="24"/>
                <w:szCs w:val="24"/>
              </w:rPr>
              <w:t xml:space="preserve"> ha</w:t>
            </w:r>
            <w:r w:rsidR="00775B0E">
              <w:rPr>
                <w:rFonts w:ascii="Times New Roman" w:hAnsi="Times New Roman" w:cs="Times New Roman"/>
                <w:sz w:val="24"/>
                <w:szCs w:val="24"/>
              </w:rPr>
              <w:t>ve</w:t>
            </w:r>
            <w:r>
              <w:rPr>
                <w:rFonts w:ascii="Times New Roman" w:hAnsi="Times New Roman" w:cs="Times New Roman"/>
                <w:sz w:val="24"/>
                <w:szCs w:val="24"/>
              </w:rPr>
              <w:t xml:space="preserve"> shifting consumer preferences to ‘at-home’ consumption </w:t>
            </w:r>
            <w:r w:rsidR="00775B0E">
              <w:rPr>
                <w:rFonts w:ascii="Times New Roman" w:hAnsi="Times New Roman" w:cs="Times New Roman"/>
                <w:sz w:val="24"/>
                <w:szCs w:val="24"/>
              </w:rPr>
              <w:t xml:space="preserve">v. ‘away-from-home’ consumption. Focused on developing online sales </w:t>
            </w:r>
          </w:p>
        </w:tc>
        <w:tc>
          <w:tcPr>
            <w:tcW w:w="3117" w:type="dxa"/>
          </w:tcPr>
          <w:p w14:paraId="6678F123" w14:textId="58ABA508" w:rsidR="00863606" w:rsidRDefault="00775B0E">
            <w:pPr>
              <w:rPr>
                <w:rFonts w:ascii="Times New Roman" w:hAnsi="Times New Roman" w:cs="Times New Roman"/>
                <w:sz w:val="24"/>
                <w:szCs w:val="24"/>
              </w:rPr>
            </w:pPr>
            <w:r>
              <w:rPr>
                <w:rFonts w:ascii="Times New Roman" w:hAnsi="Times New Roman" w:cs="Times New Roman"/>
                <w:sz w:val="24"/>
                <w:szCs w:val="24"/>
              </w:rPr>
              <w:t xml:space="preserve">COVID lockdowns cause consumers to shop online for food items. Developing online sales platform. </w:t>
            </w:r>
          </w:p>
        </w:tc>
      </w:tr>
      <w:tr w:rsidR="00643C92" w14:paraId="3EECCBF5" w14:textId="77777777" w:rsidTr="00ED1AAE">
        <w:tc>
          <w:tcPr>
            <w:tcW w:w="3116" w:type="dxa"/>
          </w:tcPr>
          <w:p w14:paraId="63C41FD6" w14:textId="0F1738AA" w:rsidR="00643C92" w:rsidRDefault="00643C92">
            <w:pPr>
              <w:rPr>
                <w:rFonts w:ascii="Times New Roman" w:hAnsi="Times New Roman" w:cs="Times New Roman"/>
                <w:sz w:val="24"/>
                <w:szCs w:val="24"/>
              </w:rPr>
            </w:pPr>
            <w:r>
              <w:rPr>
                <w:rFonts w:ascii="Times New Roman" w:hAnsi="Times New Roman" w:cs="Times New Roman"/>
                <w:sz w:val="24"/>
                <w:szCs w:val="24"/>
              </w:rPr>
              <w:t>Non-GAAP considerations</w:t>
            </w:r>
          </w:p>
        </w:tc>
        <w:tc>
          <w:tcPr>
            <w:tcW w:w="3117" w:type="dxa"/>
          </w:tcPr>
          <w:p w14:paraId="760638D8" w14:textId="77777777" w:rsidR="00643C92" w:rsidRDefault="00643C92">
            <w:pPr>
              <w:rPr>
                <w:rFonts w:ascii="Times New Roman" w:hAnsi="Times New Roman" w:cs="Times New Roman"/>
                <w:sz w:val="24"/>
                <w:szCs w:val="24"/>
              </w:rPr>
            </w:pPr>
          </w:p>
        </w:tc>
        <w:tc>
          <w:tcPr>
            <w:tcW w:w="3117" w:type="dxa"/>
          </w:tcPr>
          <w:p w14:paraId="67BFAA15" w14:textId="5A1AF618" w:rsidR="00643C92" w:rsidRDefault="00643C92">
            <w:pPr>
              <w:rPr>
                <w:rFonts w:ascii="Times New Roman" w:hAnsi="Times New Roman" w:cs="Times New Roman"/>
                <w:sz w:val="24"/>
                <w:szCs w:val="24"/>
              </w:rPr>
            </w:pPr>
            <w:r>
              <w:rPr>
                <w:rFonts w:ascii="Times New Roman" w:hAnsi="Times New Roman" w:cs="Times New Roman"/>
                <w:sz w:val="24"/>
                <w:szCs w:val="24"/>
              </w:rPr>
              <w:t xml:space="preserve">Financial disclosures exclude pension liabilities. </w:t>
            </w:r>
          </w:p>
        </w:tc>
      </w:tr>
    </w:tbl>
    <w:p w14:paraId="78B676E7" w14:textId="77777777" w:rsidR="00ED1AAE" w:rsidRDefault="00ED1AAE">
      <w:pPr>
        <w:rPr>
          <w:rFonts w:ascii="Times New Roman" w:hAnsi="Times New Roman" w:cs="Times New Roman"/>
          <w:sz w:val="24"/>
          <w:szCs w:val="24"/>
        </w:rPr>
      </w:pPr>
    </w:p>
    <w:p w14:paraId="545CA4A3" w14:textId="516C3180" w:rsidR="004A5E7B" w:rsidRPr="004A5E7B" w:rsidRDefault="004A5E7B">
      <w:pPr>
        <w:rPr>
          <w:rFonts w:ascii="Times New Roman" w:hAnsi="Times New Roman" w:cs="Times New Roman"/>
          <w:sz w:val="24"/>
          <w:szCs w:val="24"/>
        </w:rPr>
      </w:pPr>
      <w:r>
        <w:rPr>
          <w:rFonts w:ascii="Times New Roman" w:hAnsi="Times New Roman" w:cs="Times New Roman"/>
          <w:sz w:val="24"/>
          <w:szCs w:val="24"/>
        </w:rPr>
        <w:t xml:space="preserve">  </w:t>
      </w:r>
    </w:p>
    <w:sectPr w:rsidR="004A5E7B" w:rsidRPr="004A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A157D"/>
    <w:multiLevelType w:val="hybridMultilevel"/>
    <w:tmpl w:val="2B44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5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E"/>
    <w:rsid w:val="000A4E2C"/>
    <w:rsid w:val="000C2665"/>
    <w:rsid w:val="001835C4"/>
    <w:rsid w:val="001D520B"/>
    <w:rsid w:val="00326F9E"/>
    <w:rsid w:val="00464E59"/>
    <w:rsid w:val="0047591C"/>
    <w:rsid w:val="004A5E7B"/>
    <w:rsid w:val="004C675F"/>
    <w:rsid w:val="0050792F"/>
    <w:rsid w:val="00585A81"/>
    <w:rsid w:val="005E1FB0"/>
    <w:rsid w:val="00643C92"/>
    <w:rsid w:val="006A4973"/>
    <w:rsid w:val="006C3517"/>
    <w:rsid w:val="00737A53"/>
    <w:rsid w:val="00775B0E"/>
    <w:rsid w:val="00791D3B"/>
    <w:rsid w:val="007F2F0E"/>
    <w:rsid w:val="00863606"/>
    <w:rsid w:val="00890869"/>
    <w:rsid w:val="008D02FF"/>
    <w:rsid w:val="0090081F"/>
    <w:rsid w:val="00B840A1"/>
    <w:rsid w:val="00BB1401"/>
    <w:rsid w:val="00D64B4C"/>
    <w:rsid w:val="00E45C61"/>
    <w:rsid w:val="00ED1AAE"/>
    <w:rsid w:val="00F8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7DBF"/>
  <w15:chartTrackingRefBased/>
  <w15:docId w15:val="{5A81EF00-E036-4D54-8FB8-8D95DDB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7B"/>
    <w:pPr>
      <w:ind w:left="720"/>
      <w:contextualSpacing/>
    </w:pPr>
  </w:style>
  <w:style w:type="table" w:styleId="TableGrid">
    <w:name w:val="Table Grid"/>
    <w:basedOn w:val="TableNormal"/>
    <w:uiPriority w:val="39"/>
    <w:rsid w:val="00ED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046813">
      <w:bodyDiv w:val="1"/>
      <w:marLeft w:val="0"/>
      <w:marRight w:val="0"/>
      <w:marTop w:val="0"/>
      <w:marBottom w:val="0"/>
      <w:divBdr>
        <w:top w:val="none" w:sz="0" w:space="0" w:color="auto"/>
        <w:left w:val="none" w:sz="0" w:space="0" w:color="auto"/>
        <w:bottom w:val="none" w:sz="0" w:space="0" w:color="auto"/>
        <w:right w:val="none" w:sz="0" w:space="0" w:color="auto"/>
      </w:divBdr>
    </w:div>
    <w:div w:id="15626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5</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Kelly</dc:creator>
  <cp:keywords/>
  <dc:description/>
  <cp:lastModifiedBy>John Kelly</cp:lastModifiedBy>
  <cp:revision>14</cp:revision>
  <dcterms:created xsi:type="dcterms:W3CDTF">2023-02-12T00:41:00Z</dcterms:created>
  <dcterms:modified xsi:type="dcterms:W3CDTF">2023-02-12T21:09:00Z</dcterms:modified>
</cp:coreProperties>
</file>