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E7D29" w14:textId="01D85FAC" w:rsidR="00932540" w:rsidRDefault="00DF540F">
      <w:pPr>
        <w:rPr>
          <w:rFonts w:ascii="Times New Roman" w:hAnsi="Times New Roman" w:cs="Times New Roman"/>
        </w:rPr>
      </w:pPr>
      <w:r>
        <w:rPr>
          <w:rFonts w:ascii="Times New Roman" w:hAnsi="Times New Roman" w:cs="Times New Roman"/>
        </w:rPr>
        <w:t>Ongoing Project - Part 4: Pepsi v. Coca-Cola Analysis</w:t>
      </w:r>
      <w:r w:rsidR="001D5740">
        <w:rPr>
          <w:rFonts w:ascii="Times New Roman" w:hAnsi="Times New Roman" w:cs="Times New Roman"/>
        </w:rPr>
        <w:t>, John A. Kelly</w:t>
      </w:r>
    </w:p>
    <w:p w14:paraId="3BC480E5" w14:textId="7C91AA6D" w:rsidR="00DF540F" w:rsidRDefault="00DF540F">
      <w:pPr>
        <w:rPr>
          <w:rFonts w:ascii="Times New Roman" w:hAnsi="Times New Roman" w:cs="Times New Roman"/>
        </w:rPr>
      </w:pPr>
    </w:p>
    <w:p w14:paraId="7B44249C" w14:textId="47017A6C" w:rsidR="00DF540F" w:rsidRDefault="00DF540F" w:rsidP="00DF540F">
      <w:pPr>
        <w:jc w:val="center"/>
        <w:rPr>
          <w:rFonts w:ascii="Times New Roman" w:hAnsi="Times New Roman" w:cs="Times New Roman"/>
        </w:rPr>
      </w:pPr>
      <w:r>
        <w:rPr>
          <w:rFonts w:ascii="Times New Roman" w:hAnsi="Times New Roman" w:cs="Times New Roman"/>
        </w:rPr>
        <w:t>Income Tax Disclosure and Strategy</w:t>
      </w:r>
    </w:p>
    <w:p w14:paraId="1EC265A4" w14:textId="36F6D31A" w:rsidR="00DF540F" w:rsidRDefault="00DF540F" w:rsidP="00DF540F">
      <w:pPr>
        <w:jc w:val="center"/>
        <w:rPr>
          <w:rFonts w:ascii="Times New Roman" w:hAnsi="Times New Roman" w:cs="Times New Roman"/>
        </w:rPr>
      </w:pPr>
    </w:p>
    <w:p w14:paraId="360D5474" w14:textId="2063E0C8" w:rsidR="00DF540F" w:rsidRDefault="000D4045" w:rsidP="00DF540F">
      <w:pPr>
        <w:rPr>
          <w:rFonts w:ascii="Times New Roman" w:hAnsi="Times New Roman" w:cs="Times New Roman"/>
          <w:b/>
          <w:bCs/>
        </w:rPr>
      </w:pPr>
      <w:r>
        <w:rPr>
          <w:rFonts w:ascii="Times New Roman" w:hAnsi="Times New Roman" w:cs="Times New Roman"/>
          <w:b/>
          <w:bCs/>
        </w:rPr>
        <w:t>Coca Cola (</w:t>
      </w:r>
      <w:r w:rsidR="00DF540F" w:rsidRPr="000D4045">
        <w:rPr>
          <w:rFonts w:ascii="Times New Roman" w:hAnsi="Times New Roman" w:cs="Times New Roman"/>
          <w:b/>
          <w:bCs/>
        </w:rPr>
        <w:t>KO</w:t>
      </w:r>
      <w:r>
        <w:rPr>
          <w:rFonts w:ascii="Times New Roman" w:hAnsi="Times New Roman" w:cs="Times New Roman"/>
          <w:b/>
          <w:bCs/>
        </w:rPr>
        <w:t>)</w:t>
      </w:r>
    </w:p>
    <w:p w14:paraId="7DEF7CB1" w14:textId="625DE536" w:rsidR="001D5740" w:rsidRDefault="001D5740" w:rsidP="00DF540F">
      <w:pPr>
        <w:rPr>
          <w:rFonts w:ascii="Times New Roman" w:hAnsi="Times New Roman" w:cs="Times New Roman"/>
          <w:b/>
          <w:bCs/>
        </w:rPr>
      </w:pPr>
      <w:r>
        <w:rPr>
          <w:rFonts w:ascii="Times New Roman" w:hAnsi="Times New Roman" w:cs="Times New Roman"/>
          <w:b/>
          <w:bCs/>
        </w:rPr>
        <w:t>What is the effective tax rate?</w:t>
      </w:r>
    </w:p>
    <w:p w14:paraId="472F2394" w14:textId="2785D421" w:rsidR="001D5740" w:rsidRPr="00EB1938" w:rsidRDefault="00EB1938" w:rsidP="00DF540F">
      <w:pPr>
        <w:rPr>
          <w:rFonts w:ascii="Times New Roman" w:hAnsi="Times New Roman" w:cs="Times New Roman"/>
        </w:rPr>
      </w:pPr>
      <w:r>
        <w:rPr>
          <w:rFonts w:ascii="Times New Roman" w:hAnsi="Times New Roman" w:cs="Times New Roman"/>
        </w:rPr>
        <w:t xml:space="preserve">Under </w:t>
      </w:r>
      <w:r w:rsidRPr="00EB1938">
        <w:rPr>
          <w:rFonts w:ascii="Times New Roman" w:hAnsi="Times New Roman" w:cs="Times New Roman"/>
          <w:color w:val="000000"/>
          <w:u w:val="single"/>
        </w:rPr>
        <w:t>ITEM 7.  MANAGEMENT’S DISCUSSION AND ANALYSIS OF FINANCIAL CONDITION AND RESULTS OF OPERATIONS</w:t>
      </w:r>
      <w:r>
        <w:rPr>
          <w:rFonts w:ascii="Times New Roman" w:hAnsi="Times New Roman" w:cs="Times New Roman"/>
          <w:color w:val="000000"/>
        </w:rPr>
        <w:t>:</w:t>
      </w:r>
    </w:p>
    <w:p w14:paraId="4DCC442E" w14:textId="6FA2E85D" w:rsidR="001D5740" w:rsidRDefault="001D5740" w:rsidP="00DF540F">
      <w:pPr>
        <w:rPr>
          <w:rFonts w:ascii="Times New Roman" w:hAnsi="Times New Roman" w:cs="Times New Roman"/>
          <w:i/>
          <w:iCs/>
          <w:color w:val="000000"/>
        </w:rPr>
      </w:pPr>
      <w:r w:rsidRPr="001D5740">
        <w:rPr>
          <w:rFonts w:ascii="Times New Roman" w:hAnsi="Times New Roman" w:cs="Times New Roman"/>
          <w:i/>
          <w:iCs/>
          <w:color w:val="000000"/>
        </w:rPr>
        <w:t xml:space="preserve">Based on current tax laws, the Company’s effective tax rate in 2023 is expected to be approximately </w:t>
      </w:r>
      <w:r w:rsidRPr="00EB1938">
        <w:rPr>
          <w:rFonts w:ascii="Times New Roman" w:hAnsi="Times New Roman" w:cs="Times New Roman"/>
          <w:b/>
          <w:bCs/>
          <w:i/>
          <w:iCs/>
          <w:color w:val="000000"/>
          <w:u w:val="single"/>
        </w:rPr>
        <w:t>19.5 percent</w:t>
      </w:r>
      <w:r w:rsidRPr="001D5740">
        <w:rPr>
          <w:rFonts w:ascii="Times New Roman" w:hAnsi="Times New Roman" w:cs="Times New Roman"/>
          <w:i/>
          <w:iCs/>
          <w:color w:val="000000"/>
        </w:rPr>
        <w:t xml:space="preserve"> before considering the potential impact of any significant operating and nonoperating items that may affect our effective tax rate.</w:t>
      </w:r>
    </w:p>
    <w:p w14:paraId="57B91D50" w14:textId="4FA6BBE2" w:rsidR="00B471B8" w:rsidRPr="00B471B8" w:rsidRDefault="00B471B8" w:rsidP="00DF540F">
      <w:pPr>
        <w:rPr>
          <w:rFonts w:ascii="Times New Roman" w:hAnsi="Times New Roman" w:cs="Times New Roman"/>
          <w:b/>
          <w:bCs/>
        </w:rPr>
      </w:pPr>
      <w:r>
        <w:rPr>
          <w:rFonts w:ascii="Times New Roman" w:hAnsi="Times New Roman" w:cs="Times New Roman"/>
          <w:b/>
          <w:bCs/>
          <w:color w:val="000000"/>
        </w:rPr>
        <w:t>Tax concerns</w:t>
      </w:r>
    </w:p>
    <w:p w14:paraId="08A06861" w14:textId="0B8A712C" w:rsidR="00DF540F" w:rsidRDefault="00DF540F" w:rsidP="00DF540F">
      <w:pPr>
        <w:rPr>
          <w:rFonts w:ascii="Times New Roman" w:hAnsi="Times New Roman" w:cs="Times New Roman"/>
        </w:rPr>
      </w:pPr>
      <w:r>
        <w:rPr>
          <w:rFonts w:ascii="Times New Roman" w:hAnsi="Times New Roman" w:cs="Times New Roman"/>
        </w:rPr>
        <w:t xml:space="preserve">On </w:t>
      </w:r>
      <w:r w:rsidRPr="00CD09B1">
        <w:rPr>
          <w:rFonts w:ascii="Times New Roman" w:hAnsi="Times New Roman" w:cs="Times New Roman"/>
          <w:u w:val="single"/>
        </w:rPr>
        <w:t>ITEM 1A – RISK FACTORS</w:t>
      </w:r>
      <w:r>
        <w:rPr>
          <w:rFonts w:ascii="Times New Roman" w:hAnsi="Times New Roman" w:cs="Times New Roman"/>
        </w:rPr>
        <w:t xml:space="preserve"> </w:t>
      </w:r>
      <w:r w:rsidR="00F82F41">
        <w:rPr>
          <w:rFonts w:ascii="Times New Roman" w:hAnsi="Times New Roman" w:cs="Times New Roman"/>
        </w:rPr>
        <w:t>is where KO outlines their tax disclosures on</w:t>
      </w:r>
      <w:r>
        <w:rPr>
          <w:rFonts w:ascii="Times New Roman" w:hAnsi="Times New Roman" w:cs="Times New Roman"/>
        </w:rPr>
        <w:t xml:space="preserve"> their yearly 10-K, KO </w:t>
      </w:r>
      <w:r w:rsidR="00F82F41">
        <w:rPr>
          <w:rFonts w:ascii="Times New Roman" w:hAnsi="Times New Roman" w:cs="Times New Roman"/>
        </w:rPr>
        <w:t xml:space="preserve">is very concerned about special taxation on ingredients and materials predominantly used in the making and sale of their products, that have become subject to public scrutiny </w:t>
      </w:r>
      <w:r>
        <w:rPr>
          <w:rFonts w:ascii="Times New Roman" w:hAnsi="Times New Roman" w:cs="Times New Roman"/>
        </w:rPr>
        <w:t xml:space="preserve">lists out increased taxation on their products by local and state governments due to the increasing negative health impact KO’s products, mainly their soda-beverage sweetened products. Taxation on sugar drinks has become adopted </w:t>
      </w:r>
      <w:r w:rsidR="00F82F41">
        <w:rPr>
          <w:rFonts w:ascii="Times New Roman" w:hAnsi="Times New Roman" w:cs="Times New Roman"/>
        </w:rPr>
        <w:t>to combat obesity. Additionally, e</w:t>
      </w:r>
      <w:r>
        <w:rPr>
          <w:rFonts w:ascii="Times New Roman" w:hAnsi="Times New Roman" w:cs="Times New Roman"/>
        </w:rPr>
        <w:t xml:space="preserve">nvironmental “Eco” taxes are levied on KO’s bottlers due to plastic use in manufacturing bottle containers to distribute their beverages. </w:t>
      </w:r>
      <w:r w:rsidR="00F82F41">
        <w:rPr>
          <w:rFonts w:ascii="Times New Roman" w:hAnsi="Times New Roman" w:cs="Times New Roman"/>
        </w:rPr>
        <w:t xml:space="preserve">There are environmental concerns over increased plastic use. KO has stressed that such taxes will negatively impact earnings unless they discover alternative products that comply with current public demand in terms of these two concern areas. </w:t>
      </w:r>
      <w:r w:rsidR="00381335">
        <w:rPr>
          <w:rFonts w:ascii="Times New Roman" w:hAnsi="Times New Roman" w:cs="Times New Roman"/>
        </w:rPr>
        <w:t xml:space="preserve">KO has responded by investing in expansion of its water bottling and sugar-free beverage offerings, specifically “Coke Zero-Sugar” and its derivative flavorings. As wells as investing in health centered companies that make health-based products. </w:t>
      </w:r>
    </w:p>
    <w:p w14:paraId="5708136F" w14:textId="3E1ABB94" w:rsidR="000D4045" w:rsidRPr="001D5740" w:rsidRDefault="000D4045" w:rsidP="00DF540F">
      <w:pPr>
        <w:rPr>
          <w:rFonts w:ascii="Times New Roman" w:hAnsi="Times New Roman" w:cs="Times New Roman"/>
          <w:b/>
          <w:bCs/>
        </w:rPr>
      </w:pPr>
      <w:r w:rsidRPr="001D5740">
        <w:rPr>
          <w:rFonts w:ascii="Times New Roman" w:hAnsi="Times New Roman" w:cs="Times New Roman"/>
          <w:b/>
          <w:bCs/>
        </w:rPr>
        <w:t xml:space="preserve">Has TCJA 2017 </w:t>
      </w:r>
      <w:r w:rsidR="001D5740" w:rsidRPr="001D5740">
        <w:rPr>
          <w:rFonts w:ascii="Times New Roman" w:hAnsi="Times New Roman" w:cs="Times New Roman"/>
          <w:b/>
          <w:bCs/>
        </w:rPr>
        <w:t>affected</w:t>
      </w:r>
      <w:r w:rsidRPr="001D5740">
        <w:rPr>
          <w:rFonts w:ascii="Times New Roman" w:hAnsi="Times New Roman" w:cs="Times New Roman"/>
          <w:b/>
          <w:bCs/>
        </w:rPr>
        <w:t xml:space="preserve"> KO? </w:t>
      </w:r>
    </w:p>
    <w:p w14:paraId="0F5D27DB" w14:textId="463AC38C" w:rsidR="00F82F41" w:rsidRPr="00CD09B1" w:rsidRDefault="00F82F41" w:rsidP="00DF540F">
      <w:pPr>
        <w:rPr>
          <w:rFonts w:ascii="Times New Roman" w:hAnsi="Times New Roman" w:cs="Times New Roman"/>
        </w:rPr>
      </w:pPr>
      <w:r>
        <w:rPr>
          <w:rFonts w:ascii="Times New Roman" w:hAnsi="Times New Roman" w:cs="Times New Roman"/>
        </w:rPr>
        <w:t xml:space="preserve">The impact of the Tax Cuts and Jobs Act of 2017 is mentioned under the subject line </w:t>
      </w:r>
      <w:r w:rsidRPr="00F82F41">
        <w:rPr>
          <w:rFonts w:ascii="Times New Roman" w:hAnsi="Times New Roman" w:cs="Times New Roman"/>
        </w:rPr>
        <w:t>“</w:t>
      </w:r>
      <w:r w:rsidRPr="00F82F41">
        <w:rPr>
          <w:rFonts w:ascii="Times New Roman" w:hAnsi="Times New Roman" w:cs="Times New Roman"/>
          <w:i/>
          <w:iCs/>
        </w:rPr>
        <w:t>Increases in income tax rates, changes in income tax laws or unfavorable resolution of tax matters could have a material adverse impact on our financial results.</w:t>
      </w:r>
      <w:r w:rsidRPr="00F82F41">
        <w:rPr>
          <w:rFonts w:ascii="inherit" w:hAnsi="inherit"/>
          <w:b/>
          <w:bCs/>
          <w:i/>
          <w:iCs/>
        </w:rPr>
        <w:t>”</w:t>
      </w:r>
      <w:r>
        <w:rPr>
          <w:rFonts w:ascii="inherit" w:hAnsi="inherit"/>
        </w:rPr>
        <w:t xml:space="preserve"> </w:t>
      </w:r>
      <w:r w:rsidR="00CD09B1">
        <w:rPr>
          <w:rFonts w:ascii="inherit" w:hAnsi="inherit"/>
        </w:rPr>
        <w:t xml:space="preserve"> </w:t>
      </w:r>
      <w:r w:rsidR="00CD09B1">
        <w:rPr>
          <w:rFonts w:ascii="Times New Roman" w:hAnsi="Times New Roman" w:cs="Times New Roman"/>
        </w:rPr>
        <w:t xml:space="preserve">When TCJA 2017 went into effect Jan 1, 2018 KO altered its chart of accounts to reflect it as Transition Taxes Payable. Before TCJA passed in Congress, KO was currently in an ongoing legal tax dispute with the U.S. federal government who sought to increase their overall tax liability from fiscal years 2007-2009 by $3.3 billion creating a </w:t>
      </w:r>
      <w:r w:rsidR="00984158">
        <w:rPr>
          <w:rFonts w:ascii="Times New Roman" w:hAnsi="Times New Roman" w:cs="Times New Roman"/>
        </w:rPr>
        <w:t>potential tax liability</w:t>
      </w:r>
      <w:r w:rsidR="00CD09B1">
        <w:rPr>
          <w:rFonts w:ascii="Times New Roman" w:hAnsi="Times New Roman" w:cs="Times New Roman"/>
        </w:rPr>
        <w:t xml:space="preserve"> under the old federal tax law.</w:t>
      </w:r>
      <w:r w:rsidR="00984158">
        <w:rPr>
          <w:rFonts w:ascii="Times New Roman" w:hAnsi="Times New Roman" w:cs="Times New Roman"/>
        </w:rPr>
        <w:t xml:space="preserve"> The tax trial was held between March 8, 2018, </w:t>
      </w:r>
      <w:proofErr w:type="gramStart"/>
      <w:r w:rsidR="00984158">
        <w:rPr>
          <w:rFonts w:ascii="Times New Roman" w:hAnsi="Times New Roman" w:cs="Times New Roman"/>
        </w:rPr>
        <w:t>thru</w:t>
      </w:r>
      <w:proofErr w:type="gramEnd"/>
      <w:r w:rsidR="00984158">
        <w:rPr>
          <w:rFonts w:ascii="Times New Roman" w:hAnsi="Times New Roman" w:cs="Times New Roman"/>
        </w:rPr>
        <w:t xml:space="preserve"> May 11, 2018, where court filing, discovery and evidence were gathered before TCJA 2017 was enacted.</w:t>
      </w:r>
      <w:r w:rsidR="00CD09B1">
        <w:rPr>
          <w:rFonts w:ascii="Times New Roman" w:hAnsi="Times New Roman" w:cs="Times New Roman"/>
        </w:rPr>
        <w:t xml:space="preserve"> There was only </w:t>
      </w:r>
      <w:proofErr w:type="gramStart"/>
      <w:r w:rsidR="00CD09B1">
        <w:rPr>
          <w:rFonts w:ascii="Times New Roman" w:hAnsi="Times New Roman" w:cs="Times New Roman"/>
        </w:rPr>
        <w:t>a “</w:t>
      </w:r>
      <w:proofErr w:type="gramEnd"/>
      <w:r w:rsidR="00CD09B1">
        <w:rPr>
          <w:rFonts w:ascii="Times New Roman" w:hAnsi="Times New Roman" w:cs="Times New Roman"/>
        </w:rPr>
        <w:t>reasonably possible” outcome a federal ruling against KO</w:t>
      </w:r>
      <w:r w:rsidR="00984158">
        <w:rPr>
          <w:rFonts w:ascii="Times New Roman" w:hAnsi="Times New Roman" w:cs="Times New Roman"/>
        </w:rPr>
        <w:t xml:space="preserve"> given the delay in a ruling.</w:t>
      </w:r>
      <w:r w:rsidR="00CD09B1">
        <w:rPr>
          <w:rFonts w:ascii="Times New Roman" w:hAnsi="Times New Roman" w:cs="Times New Roman"/>
        </w:rPr>
        <w:t xml:space="preserve"> </w:t>
      </w:r>
      <w:r w:rsidR="00984158">
        <w:rPr>
          <w:rFonts w:ascii="Times New Roman" w:hAnsi="Times New Roman" w:cs="Times New Roman"/>
        </w:rPr>
        <w:t>KO has disclosed that the negative ruling creating the potential $3.3 billion tax liability (assuming old tax law provisions being applied) will be transferred to their Transition Taxes Payable, an account that will be used to adjust taxes payable.</w:t>
      </w:r>
    </w:p>
    <w:p w14:paraId="0D036B77" w14:textId="7FF566E0" w:rsidR="00F82F41" w:rsidRDefault="00F82F41" w:rsidP="00DF540F">
      <w:pPr>
        <w:rPr>
          <w:rFonts w:ascii="Times New Roman" w:hAnsi="Times New Roman" w:cs="Times New Roman"/>
        </w:rPr>
      </w:pPr>
      <w:r>
        <w:rPr>
          <w:rFonts w:ascii="Times New Roman" w:hAnsi="Times New Roman" w:cs="Times New Roman"/>
        </w:rPr>
        <w:t>KO</w:t>
      </w:r>
      <w:r w:rsidR="00CD09B1">
        <w:rPr>
          <w:rFonts w:ascii="Times New Roman" w:hAnsi="Times New Roman" w:cs="Times New Roman"/>
        </w:rPr>
        <w:t xml:space="preserve"> has nevertheless stated that TCJA 2017 </w:t>
      </w:r>
      <w:r w:rsidR="00CD09B1" w:rsidRPr="00CD09B1">
        <w:rPr>
          <w:rFonts w:ascii="Times New Roman" w:hAnsi="Times New Roman" w:cs="Times New Roman"/>
          <w:u w:val="single"/>
        </w:rPr>
        <w:t>significantly impacted</w:t>
      </w:r>
      <w:r w:rsidR="00CD09B1">
        <w:rPr>
          <w:rFonts w:ascii="Times New Roman" w:hAnsi="Times New Roman" w:cs="Times New Roman"/>
        </w:rPr>
        <w:t xml:space="preserve"> their financial position. The company has referred to </w:t>
      </w:r>
      <w:r w:rsidR="00CD09B1" w:rsidRPr="00CD09B1">
        <w:rPr>
          <w:rFonts w:ascii="Times New Roman" w:hAnsi="Times New Roman" w:cs="Times New Roman"/>
          <w:u w:val="single"/>
        </w:rPr>
        <w:t>Staff Accounting Bulletin #118</w:t>
      </w:r>
      <w:r w:rsidR="00CD09B1">
        <w:rPr>
          <w:rFonts w:ascii="Times New Roman" w:hAnsi="Times New Roman" w:cs="Times New Roman"/>
        </w:rPr>
        <w:t xml:space="preserve"> or “SAB 118” as authoritative guidance to list their estimations on tax liabilities from the new TCJA reforms. These estimates are mentioned </w:t>
      </w:r>
      <w:r w:rsidR="00984158">
        <w:rPr>
          <w:rFonts w:ascii="Times New Roman" w:hAnsi="Times New Roman" w:cs="Times New Roman"/>
        </w:rPr>
        <w:t>in ITEM 7 –</w:t>
      </w:r>
      <w:r w:rsidR="00984158" w:rsidRPr="00984158">
        <w:rPr>
          <w:rFonts w:ascii="Times New Roman" w:hAnsi="Times New Roman" w:cs="Times New Roman"/>
        </w:rPr>
        <w:lastRenderedPageBreak/>
        <w:t>MANAGEMENT'S DISCUSSION AND ANALYSIS OF FINANCIAL CONDITION AND RESULTS OF OPERATIONS</w:t>
      </w:r>
      <w:r w:rsidR="00984158">
        <w:rPr>
          <w:rFonts w:ascii="Times New Roman" w:hAnsi="Times New Roman" w:cs="Times New Roman"/>
        </w:rPr>
        <w:t>.</w:t>
      </w:r>
    </w:p>
    <w:p w14:paraId="4C78BF80" w14:textId="17488B05" w:rsidR="00984158" w:rsidRDefault="00984158" w:rsidP="00DF540F">
      <w:pPr>
        <w:rPr>
          <w:rFonts w:ascii="Times New Roman" w:hAnsi="Times New Roman" w:cs="Times New Roman"/>
        </w:rPr>
      </w:pPr>
      <w:r w:rsidRPr="00984158">
        <w:rPr>
          <w:rFonts w:ascii="Times New Roman" w:hAnsi="Times New Roman" w:cs="Times New Roman"/>
        </w:rPr>
        <w:t>On</w:t>
      </w:r>
      <w:r w:rsidRPr="00984158">
        <w:rPr>
          <w:rFonts w:ascii="Times New Roman" w:hAnsi="Times New Roman" w:cs="Times New Roman"/>
          <w:u w:val="single"/>
        </w:rPr>
        <w:t xml:space="preserve"> ITEM 7 - </w:t>
      </w:r>
      <w:r w:rsidRPr="00984158">
        <w:rPr>
          <w:rFonts w:ascii="Times New Roman" w:hAnsi="Times New Roman" w:cs="Times New Roman"/>
          <w:u w:val="single"/>
        </w:rPr>
        <w:t>MANAGEMENT'S DISCUSSION AND ANALYSIS OF FINANCIAL CONDITION AND RESULTS OF OPERATIONS</w:t>
      </w:r>
      <w:r>
        <w:rPr>
          <w:rFonts w:ascii="Times New Roman" w:hAnsi="Times New Roman" w:cs="Times New Roman"/>
        </w:rPr>
        <w:t>.</w:t>
      </w:r>
      <w:r>
        <w:rPr>
          <w:rFonts w:ascii="Times New Roman" w:hAnsi="Times New Roman" w:cs="Times New Roman"/>
        </w:rPr>
        <w:t xml:space="preserve"> KO management discloses that TCJA 2017</w:t>
      </w:r>
      <w:r w:rsidR="004276F0">
        <w:rPr>
          <w:rFonts w:ascii="Times New Roman" w:hAnsi="Times New Roman" w:cs="Times New Roman"/>
        </w:rPr>
        <w:t xml:space="preserve"> created a</w:t>
      </w:r>
      <w:r w:rsidR="000D4045">
        <w:rPr>
          <w:rFonts w:ascii="Times New Roman" w:hAnsi="Times New Roman" w:cs="Times New Roman"/>
        </w:rPr>
        <w:t xml:space="preserve"> tax liability on</w:t>
      </w:r>
      <w:r w:rsidR="004276F0">
        <w:rPr>
          <w:rFonts w:ascii="Times New Roman" w:hAnsi="Times New Roman" w:cs="Times New Roman"/>
        </w:rPr>
        <w:t xml:space="preserve"> </w:t>
      </w:r>
      <w:r w:rsidR="004276F0" w:rsidRPr="004276F0">
        <w:rPr>
          <w:rFonts w:ascii="Times New Roman" w:hAnsi="Times New Roman" w:cs="Times New Roman"/>
          <w:b/>
          <w:bCs/>
        </w:rPr>
        <w:t>$41 billion o</w:t>
      </w:r>
      <w:r w:rsidR="000D4045">
        <w:rPr>
          <w:rFonts w:ascii="Times New Roman" w:hAnsi="Times New Roman" w:cs="Times New Roman"/>
          <w:b/>
          <w:bCs/>
        </w:rPr>
        <w:t>f</w:t>
      </w:r>
      <w:r w:rsidR="004276F0" w:rsidRPr="004276F0">
        <w:rPr>
          <w:rFonts w:ascii="Times New Roman" w:hAnsi="Times New Roman" w:cs="Times New Roman"/>
          <w:b/>
          <w:bCs/>
        </w:rPr>
        <w:t xml:space="preserve"> foreign earnings post-1986</w:t>
      </w:r>
      <w:r w:rsidR="004276F0">
        <w:rPr>
          <w:rFonts w:ascii="Times New Roman" w:hAnsi="Times New Roman" w:cs="Times New Roman"/>
        </w:rPr>
        <w:t>, kept overseas not subjected to U.S. taxes. Management has</w:t>
      </w:r>
      <w:r w:rsidR="000D4045">
        <w:rPr>
          <w:rFonts w:ascii="Times New Roman" w:hAnsi="Times New Roman" w:cs="Times New Roman"/>
        </w:rPr>
        <w:t xml:space="preserve"> used “SAB-118” to </w:t>
      </w:r>
      <w:r w:rsidR="000D4045" w:rsidRPr="000D4045">
        <w:rPr>
          <w:rFonts w:ascii="Times New Roman" w:hAnsi="Times New Roman" w:cs="Times New Roman"/>
          <w:b/>
          <w:bCs/>
        </w:rPr>
        <w:t>estimate they will incurr a $4.6 billion tax liability on these earnings from the new TCJA law</w:t>
      </w:r>
      <w:r w:rsidR="000D4045">
        <w:rPr>
          <w:rFonts w:ascii="Times New Roman" w:hAnsi="Times New Roman" w:cs="Times New Roman"/>
        </w:rPr>
        <w:t>.</w:t>
      </w:r>
      <w:r w:rsidR="004276F0">
        <w:rPr>
          <w:rFonts w:ascii="Times New Roman" w:hAnsi="Times New Roman" w:cs="Times New Roman"/>
        </w:rPr>
        <w:t xml:space="preserve"> disclosed </w:t>
      </w:r>
      <w:r w:rsidR="004276F0" w:rsidRPr="004276F0">
        <w:rPr>
          <w:rFonts w:ascii="Times New Roman" w:hAnsi="Times New Roman" w:cs="Times New Roman"/>
          <w:u w:val="single"/>
        </w:rPr>
        <w:t>most of the transition taxes payable are from foreign earnings invested in other subsidiaries KO has controlling interest over</w:t>
      </w:r>
      <w:r w:rsidR="004276F0">
        <w:rPr>
          <w:rFonts w:ascii="Times New Roman" w:hAnsi="Times New Roman" w:cs="Times New Roman"/>
        </w:rPr>
        <w:t xml:space="preserve">. KO must pay a </w:t>
      </w:r>
      <w:r w:rsidR="004276F0" w:rsidRPr="004276F0">
        <w:rPr>
          <w:rFonts w:ascii="Times New Roman" w:hAnsi="Times New Roman" w:cs="Times New Roman"/>
          <w:u w:val="single"/>
        </w:rPr>
        <w:t>one-time transition tax over a period of eight years</w:t>
      </w:r>
      <w:r w:rsidR="004276F0">
        <w:rPr>
          <w:rFonts w:ascii="Times New Roman" w:hAnsi="Times New Roman" w:cs="Times New Roman"/>
        </w:rPr>
        <w:t xml:space="preserve">, which they </w:t>
      </w:r>
      <w:proofErr w:type="gramStart"/>
      <w:r w:rsidR="004276F0">
        <w:rPr>
          <w:rFonts w:ascii="Times New Roman" w:hAnsi="Times New Roman" w:cs="Times New Roman"/>
        </w:rPr>
        <w:t>describe</w:t>
      </w:r>
      <w:proofErr w:type="gramEnd"/>
      <w:r w:rsidR="004276F0">
        <w:rPr>
          <w:rFonts w:ascii="Times New Roman" w:hAnsi="Times New Roman" w:cs="Times New Roman"/>
        </w:rPr>
        <w:t xml:space="preserve"> a re-patriation of foreign earnings</w:t>
      </w:r>
      <w:r w:rsidR="000D4045">
        <w:rPr>
          <w:rFonts w:ascii="Times New Roman" w:hAnsi="Times New Roman" w:cs="Times New Roman"/>
        </w:rPr>
        <w:t>.</w:t>
      </w:r>
    </w:p>
    <w:p w14:paraId="29A65F77" w14:textId="15EC6ECD" w:rsidR="000D4045" w:rsidRDefault="000D4045" w:rsidP="00DF540F">
      <w:pPr>
        <w:rPr>
          <w:rFonts w:ascii="Times New Roman" w:hAnsi="Times New Roman" w:cs="Times New Roman"/>
          <w:b/>
          <w:bCs/>
        </w:rPr>
      </w:pPr>
      <w:r w:rsidRPr="001D5740">
        <w:rPr>
          <w:rFonts w:ascii="Times New Roman" w:hAnsi="Times New Roman" w:cs="Times New Roman"/>
          <w:b/>
          <w:bCs/>
        </w:rPr>
        <w:t>Do deferred tax assets seem appropriate given the company’s industry?</w:t>
      </w:r>
    </w:p>
    <w:p w14:paraId="6FF0904D" w14:textId="03E5FC2D" w:rsidR="00AC09F7" w:rsidRPr="00AC09F7" w:rsidRDefault="00AC09F7" w:rsidP="00DF540F">
      <w:pPr>
        <w:rPr>
          <w:rFonts w:ascii="Times New Roman" w:hAnsi="Times New Roman" w:cs="Times New Roman"/>
        </w:rPr>
      </w:pPr>
      <w:r>
        <w:rPr>
          <w:rFonts w:ascii="Times New Roman" w:hAnsi="Times New Roman" w:cs="Times New Roman"/>
        </w:rPr>
        <w:t xml:space="preserve">Looking at their current FY 2022 10-K, KO’s total deferred tax assets went </w:t>
      </w:r>
      <w:r w:rsidRPr="00AC09F7">
        <w:rPr>
          <w:rFonts w:ascii="Times New Roman" w:hAnsi="Times New Roman" w:cs="Times New Roman"/>
          <w:u w:val="single"/>
        </w:rPr>
        <w:t>down</w:t>
      </w:r>
      <w:r>
        <w:rPr>
          <w:rFonts w:ascii="Times New Roman" w:hAnsi="Times New Roman" w:cs="Times New Roman"/>
        </w:rPr>
        <w:t xml:space="preserve"> to </w:t>
      </w:r>
      <w:r w:rsidRPr="00AC09F7">
        <w:rPr>
          <w:rFonts w:ascii="Times New Roman" w:hAnsi="Times New Roman" w:cs="Times New Roman"/>
          <w:b/>
          <w:bCs/>
        </w:rPr>
        <w:t>$4,609 (million)</w:t>
      </w:r>
      <w:r>
        <w:rPr>
          <w:rFonts w:ascii="Times New Roman" w:hAnsi="Times New Roman" w:cs="Times New Roman"/>
        </w:rPr>
        <w:t xml:space="preserve"> from $4,937 (million in 2021) in FY 2021. There aren’t any visible differences among the items in their deferred tax asset and liability reconciliation schedules. </w:t>
      </w:r>
    </w:p>
    <w:p w14:paraId="2A63640C" w14:textId="6C46B73D" w:rsidR="00B471B8" w:rsidRPr="001D5740" w:rsidRDefault="00B471B8" w:rsidP="00DF540F">
      <w:pPr>
        <w:rPr>
          <w:rFonts w:ascii="Times New Roman" w:hAnsi="Times New Roman" w:cs="Times New Roman"/>
          <w:b/>
          <w:bCs/>
        </w:rPr>
      </w:pPr>
      <w:r>
        <w:rPr>
          <w:noProof/>
        </w:rPr>
        <w:drawing>
          <wp:inline distT="0" distB="0" distL="0" distR="0" wp14:anchorId="49878B6A" wp14:editId="5309C68D">
            <wp:extent cx="5943600" cy="1979930"/>
            <wp:effectExtent l="0" t="0" r="0" b="1270"/>
            <wp:docPr id="3" name="Picture 3"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Background pattern&#10;&#10;Description automatically generated"/>
                    <pic:cNvPicPr/>
                  </pic:nvPicPr>
                  <pic:blipFill>
                    <a:blip r:embed="rId4"/>
                    <a:stretch>
                      <a:fillRect/>
                    </a:stretch>
                  </pic:blipFill>
                  <pic:spPr>
                    <a:xfrm>
                      <a:off x="0" y="0"/>
                      <a:ext cx="5943600" cy="1979930"/>
                    </a:xfrm>
                    <a:prstGeom prst="rect">
                      <a:avLst/>
                    </a:prstGeom>
                  </pic:spPr>
                </pic:pic>
              </a:graphicData>
            </a:graphic>
          </wp:inline>
        </w:drawing>
      </w:r>
    </w:p>
    <w:p w14:paraId="1465D139" w14:textId="70FF1C8F" w:rsidR="000D4045" w:rsidRDefault="000D4045" w:rsidP="00DF540F">
      <w:pPr>
        <w:rPr>
          <w:rFonts w:ascii="Times New Roman" w:hAnsi="Times New Roman" w:cs="Times New Roman"/>
        </w:rPr>
      </w:pPr>
      <w:r>
        <w:rPr>
          <w:rFonts w:ascii="Times New Roman" w:hAnsi="Times New Roman" w:cs="Times New Roman"/>
        </w:rPr>
        <w:t xml:space="preserve">Under </w:t>
      </w:r>
      <w:r w:rsidRPr="001D5740">
        <w:rPr>
          <w:rFonts w:ascii="Times New Roman" w:hAnsi="Times New Roman" w:cs="Times New Roman"/>
          <w:u w:val="single"/>
        </w:rPr>
        <w:t>ITEM 7 – MD&amp;A “Income Taxes”</w:t>
      </w:r>
      <w:r>
        <w:rPr>
          <w:rFonts w:ascii="Times New Roman" w:hAnsi="Times New Roman" w:cs="Times New Roman"/>
        </w:rPr>
        <w:t xml:space="preserve">. KO </w:t>
      </w:r>
      <w:r w:rsidR="001D5740">
        <w:rPr>
          <w:rFonts w:ascii="Times New Roman" w:hAnsi="Times New Roman" w:cs="Times New Roman"/>
        </w:rPr>
        <w:t>discloses</w:t>
      </w:r>
      <w:r>
        <w:rPr>
          <w:rFonts w:ascii="Times New Roman" w:hAnsi="Times New Roman" w:cs="Times New Roman"/>
        </w:rPr>
        <w:t xml:space="preserve"> that deferred tax assets and liabilities are determined by temporary differences in the book value basis, and the tax basis. The applicable tax rate on these deferred tax assets are the rates enacted in the year these assets are recognized. </w:t>
      </w:r>
      <w:r w:rsidR="001D5740">
        <w:rPr>
          <w:rFonts w:ascii="Times New Roman" w:hAnsi="Times New Roman" w:cs="Times New Roman"/>
        </w:rPr>
        <w:t>KO uses forecasted taxable income to define their tax assets based on forecasted operating results. Under current definitions of deferred tax assets</w:t>
      </w:r>
      <w:r w:rsidR="00EB1938">
        <w:rPr>
          <w:rFonts w:ascii="Times New Roman" w:hAnsi="Times New Roman" w:cs="Times New Roman"/>
        </w:rPr>
        <w:t xml:space="preserve">. In other words, if KO made a $560 million tax payment, but their tax expense is </w:t>
      </w:r>
      <w:r w:rsidR="009723A5">
        <w:rPr>
          <w:rFonts w:ascii="Times New Roman" w:hAnsi="Times New Roman" w:cs="Times New Roman"/>
        </w:rPr>
        <w:t xml:space="preserve">much less at </w:t>
      </w:r>
      <w:r w:rsidR="00EB1938">
        <w:rPr>
          <w:rFonts w:ascii="Times New Roman" w:hAnsi="Times New Roman" w:cs="Times New Roman"/>
        </w:rPr>
        <w:t xml:space="preserve">$200 million, the difference is $360 million. KO’s disclosed effective tax rate is </w:t>
      </w:r>
      <w:r w:rsidR="00EB1938" w:rsidRPr="009723A5">
        <w:rPr>
          <w:rFonts w:ascii="Times New Roman" w:hAnsi="Times New Roman" w:cs="Times New Roman"/>
          <w:u w:val="single"/>
        </w:rPr>
        <w:t>19.5%,</w:t>
      </w:r>
      <w:r w:rsidR="00EB1938">
        <w:rPr>
          <w:rFonts w:ascii="Times New Roman" w:hAnsi="Times New Roman" w:cs="Times New Roman"/>
        </w:rPr>
        <w:t xml:space="preserve"> so the tax asset is $360 mil x 19.5% = </w:t>
      </w:r>
      <w:r w:rsidR="009723A5">
        <w:rPr>
          <w:rFonts w:ascii="Times New Roman" w:hAnsi="Times New Roman" w:cs="Times New Roman"/>
        </w:rPr>
        <w:t xml:space="preserve">$70,200,000. KO’s effective rate of 19.5% is less than the 21% permanent corporate rate enacted by TCJA 2017.  </w:t>
      </w:r>
    </w:p>
    <w:p w14:paraId="01C6147C" w14:textId="229AF855" w:rsidR="000D4045" w:rsidRPr="001D5740" w:rsidRDefault="000D4045" w:rsidP="00DF540F">
      <w:pPr>
        <w:rPr>
          <w:rFonts w:ascii="Times New Roman" w:hAnsi="Times New Roman" w:cs="Times New Roman"/>
          <w:b/>
          <w:bCs/>
        </w:rPr>
      </w:pPr>
      <w:r w:rsidRPr="001D5740">
        <w:rPr>
          <w:rFonts w:ascii="Times New Roman" w:hAnsi="Times New Roman" w:cs="Times New Roman"/>
          <w:b/>
          <w:bCs/>
        </w:rPr>
        <w:t>Is there a valuation allowance?</w:t>
      </w:r>
    </w:p>
    <w:p w14:paraId="2E358702" w14:textId="3861F0E9" w:rsidR="001D5740" w:rsidRDefault="001D5740" w:rsidP="00DF540F">
      <w:pPr>
        <w:rPr>
          <w:rFonts w:ascii="Times New Roman" w:hAnsi="Times New Roman" w:cs="Times New Roman"/>
        </w:rPr>
      </w:pPr>
      <w:r>
        <w:rPr>
          <w:rFonts w:ascii="Times New Roman" w:hAnsi="Times New Roman" w:cs="Times New Roman"/>
        </w:rPr>
        <w:t xml:space="preserve">In the same ITEM 7 “Income Taxes” section, KO has disclosed they do allow for valuation allowances unless management determines that it is more likely than not to realize a tax benefit associated with the tax asset. Valuation allowances are recorded to reduce the deferred tax assets to an amount that will more likely than not be realized. </w:t>
      </w:r>
    </w:p>
    <w:p w14:paraId="44C4ECEB" w14:textId="05F78D7E" w:rsidR="000D4045" w:rsidRDefault="000D4045" w:rsidP="00DF540F">
      <w:pPr>
        <w:rPr>
          <w:rFonts w:ascii="Times New Roman" w:hAnsi="Times New Roman" w:cs="Times New Roman"/>
        </w:rPr>
      </w:pPr>
    </w:p>
    <w:p w14:paraId="04FBD1DA" w14:textId="4E78A324" w:rsidR="009723A5" w:rsidRPr="009723A5" w:rsidRDefault="009723A5" w:rsidP="00DF540F">
      <w:pPr>
        <w:rPr>
          <w:rFonts w:ascii="Times New Roman" w:hAnsi="Times New Roman" w:cs="Times New Roman"/>
          <w:b/>
          <w:bCs/>
        </w:rPr>
      </w:pPr>
      <w:r w:rsidRPr="009723A5">
        <w:rPr>
          <w:rFonts w:ascii="Times New Roman" w:hAnsi="Times New Roman" w:cs="Times New Roman"/>
          <w:b/>
          <w:bCs/>
        </w:rPr>
        <w:t>Pepsi Co. (PEP)</w:t>
      </w:r>
    </w:p>
    <w:p w14:paraId="03B51946" w14:textId="38296C66" w:rsidR="009723A5" w:rsidRDefault="009723A5" w:rsidP="00DF540F">
      <w:pPr>
        <w:rPr>
          <w:rFonts w:ascii="Times New Roman" w:hAnsi="Times New Roman" w:cs="Times New Roman"/>
          <w:b/>
          <w:bCs/>
        </w:rPr>
      </w:pPr>
      <w:r w:rsidRPr="009723A5">
        <w:rPr>
          <w:rFonts w:ascii="Times New Roman" w:hAnsi="Times New Roman" w:cs="Times New Roman"/>
          <w:b/>
          <w:bCs/>
        </w:rPr>
        <w:t>What is the effective tax rate?</w:t>
      </w:r>
    </w:p>
    <w:p w14:paraId="3FF0CC9A" w14:textId="335F3664" w:rsidR="009723A5" w:rsidRPr="009723A5" w:rsidRDefault="009723A5" w:rsidP="00DF540F">
      <w:pPr>
        <w:rPr>
          <w:rFonts w:ascii="Times New Roman" w:hAnsi="Times New Roman" w:cs="Times New Roman"/>
          <w:b/>
          <w:bCs/>
        </w:rPr>
      </w:pPr>
      <w:r>
        <w:rPr>
          <w:rFonts w:ascii="Times New Roman" w:hAnsi="Times New Roman" w:cs="Times New Roman"/>
        </w:rPr>
        <w:lastRenderedPageBreak/>
        <w:t xml:space="preserve">Under </w:t>
      </w:r>
      <w:r w:rsidRPr="00984158">
        <w:rPr>
          <w:rFonts w:ascii="Times New Roman" w:hAnsi="Times New Roman" w:cs="Times New Roman"/>
          <w:u w:val="single"/>
        </w:rPr>
        <w:t>ITEM 7 - MANAGEMENT'S DISCUSSION AND ANALYSIS OF FINANCIAL CONDITION AND RESULTS OF OPERATIONS</w:t>
      </w:r>
      <w:r>
        <w:rPr>
          <w:rFonts w:ascii="Times New Roman" w:hAnsi="Times New Roman" w:cs="Times New Roman"/>
          <w:u w:val="single"/>
        </w:rPr>
        <w:t xml:space="preserve"> – </w:t>
      </w:r>
      <w:r w:rsidRPr="009723A5">
        <w:rPr>
          <w:rFonts w:ascii="Times New Roman" w:hAnsi="Times New Roman" w:cs="Times New Roman"/>
          <w:u w:val="single"/>
        </w:rPr>
        <w:t>“</w:t>
      </w:r>
      <w:r w:rsidRPr="009723A5">
        <w:rPr>
          <w:rFonts w:ascii="Times New Roman" w:hAnsi="Times New Roman" w:cs="Times New Roman"/>
          <w:color w:val="000000"/>
          <w:u w:val="single"/>
        </w:rPr>
        <w:t>Income Tax Expense and Accruals</w:t>
      </w:r>
      <w:r w:rsidRPr="009723A5">
        <w:rPr>
          <w:rFonts w:ascii="Times New Roman" w:hAnsi="Times New Roman" w:cs="Times New Roman"/>
          <w:color w:val="000000"/>
          <w:u w:val="single"/>
        </w:rPr>
        <w:t>”</w:t>
      </w:r>
    </w:p>
    <w:p w14:paraId="52FE2C5F" w14:textId="4EECD3BB" w:rsidR="009723A5" w:rsidRDefault="009723A5" w:rsidP="00DF540F">
      <w:pPr>
        <w:rPr>
          <w:rFonts w:ascii="Times New Roman" w:hAnsi="Times New Roman" w:cs="Times New Roman"/>
          <w:i/>
          <w:iCs/>
          <w:color w:val="000000"/>
        </w:rPr>
      </w:pPr>
      <w:r>
        <w:rPr>
          <w:rFonts w:ascii="Times New Roman" w:hAnsi="Times New Roman" w:cs="Times New Roman"/>
          <w:i/>
          <w:iCs/>
          <w:color w:val="000000"/>
        </w:rPr>
        <w:t>“</w:t>
      </w:r>
      <w:r w:rsidRPr="009723A5">
        <w:rPr>
          <w:rFonts w:ascii="Times New Roman" w:hAnsi="Times New Roman" w:cs="Times New Roman"/>
          <w:i/>
          <w:iCs/>
          <w:color w:val="000000"/>
        </w:rPr>
        <w:t xml:space="preserve">In 2022, our annual tax rate was </w:t>
      </w:r>
      <w:r w:rsidRPr="009723A5">
        <w:rPr>
          <w:rFonts w:ascii="Times New Roman" w:hAnsi="Times New Roman" w:cs="Times New Roman"/>
          <w:i/>
          <w:iCs/>
          <w:color w:val="000000"/>
          <w:u w:val="single"/>
        </w:rPr>
        <w:t>16.1%</w:t>
      </w:r>
      <w:r w:rsidRPr="009723A5">
        <w:rPr>
          <w:rFonts w:ascii="Times New Roman" w:hAnsi="Times New Roman" w:cs="Times New Roman"/>
          <w:i/>
          <w:iCs/>
          <w:color w:val="000000"/>
        </w:rPr>
        <w:t xml:space="preserve"> compared to 21.8% in 2021. See “Other Consolidated Results” for further information.</w:t>
      </w:r>
      <w:r>
        <w:rPr>
          <w:rFonts w:ascii="Times New Roman" w:hAnsi="Times New Roman" w:cs="Times New Roman"/>
          <w:i/>
          <w:iCs/>
          <w:color w:val="000000"/>
        </w:rPr>
        <w:t>”</w:t>
      </w:r>
    </w:p>
    <w:p w14:paraId="6E839275" w14:textId="3F2E0D40" w:rsidR="00F973E1" w:rsidRDefault="00F973E1" w:rsidP="00DF540F">
      <w:pPr>
        <w:rPr>
          <w:rFonts w:ascii="Times New Roman" w:hAnsi="Times New Roman" w:cs="Times New Roman"/>
          <w:color w:val="000000"/>
        </w:rPr>
      </w:pPr>
      <w:r>
        <w:rPr>
          <w:rFonts w:ascii="Times New Roman" w:hAnsi="Times New Roman" w:cs="Times New Roman"/>
          <w:color w:val="000000"/>
        </w:rPr>
        <w:t>A reconciliation table was provided to show how they arrived at the current 16.1%</w:t>
      </w:r>
    </w:p>
    <w:p w14:paraId="64BF333A" w14:textId="394FE4CD" w:rsidR="00F973E1" w:rsidRPr="00F973E1" w:rsidRDefault="00AC09F7" w:rsidP="00DF540F">
      <w:pPr>
        <w:rPr>
          <w:rFonts w:ascii="Times New Roman" w:hAnsi="Times New Roman" w:cs="Times New Roman"/>
          <w:color w:val="000000"/>
        </w:rPr>
      </w:pPr>
      <w:r>
        <w:rPr>
          <w:noProof/>
        </w:rPr>
        <w:drawing>
          <wp:inline distT="0" distB="0" distL="0" distR="0" wp14:anchorId="49096317" wp14:editId="5E26D938">
            <wp:extent cx="5943600" cy="1010285"/>
            <wp:effectExtent l="0" t="0" r="0" b="0"/>
            <wp:docPr id="4" name="Picture 4"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Background pattern&#10;&#10;Description automatically generated"/>
                    <pic:cNvPicPr/>
                  </pic:nvPicPr>
                  <pic:blipFill>
                    <a:blip r:embed="rId5"/>
                    <a:stretch>
                      <a:fillRect/>
                    </a:stretch>
                  </pic:blipFill>
                  <pic:spPr>
                    <a:xfrm>
                      <a:off x="0" y="0"/>
                      <a:ext cx="5943600" cy="1010285"/>
                    </a:xfrm>
                    <a:prstGeom prst="rect">
                      <a:avLst/>
                    </a:prstGeom>
                  </pic:spPr>
                </pic:pic>
              </a:graphicData>
            </a:graphic>
          </wp:inline>
        </w:drawing>
      </w:r>
    </w:p>
    <w:p w14:paraId="1F704D7C" w14:textId="54E1F85E" w:rsidR="00381335" w:rsidRDefault="00381335" w:rsidP="00DF540F">
      <w:pPr>
        <w:rPr>
          <w:rFonts w:ascii="Times New Roman" w:hAnsi="Times New Roman" w:cs="Times New Roman"/>
          <w:b/>
          <w:bCs/>
          <w:color w:val="000000"/>
        </w:rPr>
      </w:pPr>
      <w:r>
        <w:rPr>
          <w:rFonts w:ascii="Times New Roman" w:hAnsi="Times New Roman" w:cs="Times New Roman"/>
          <w:b/>
          <w:bCs/>
          <w:color w:val="000000"/>
        </w:rPr>
        <w:t>Tax Concerns</w:t>
      </w:r>
    </w:p>
    <w:p w14:paraId="7C021ACB" w14:textId="74F1A726" w:rsidR="00381335" w:rsidRPr="00381335" w:rsidRDefault="00381335" w:rsidP="00DF540F">
      <w:pPr>
        <w:rPr>
          <w:rFonts w:ascii="Times New Roman" w:hAnsi="Times New Roman" w:cs="Times New Roman"/>
          <w:color w:val="000000"/>
        </w:rPr>
      </w:pPr>
      <w:r>
        <w:rPr>
          <w:rFonts w:ascii="Times New Roman" w:hAnsi="Times New Roman" w:cs="Times New Roman"/>
          <w:color w:val="000000"/>
        </w:rPr>
        <w:t xml:space="preserve">Like KO, PEP is under threat of industry-targeted taxation in regards to sugar content that contributes to obesity and health concerns, and taxation on plastics and other non-environmental-friendly materials for bottling their products. PEP made specific mention to Italy enacting a flat tax on all soda beverages regardless of if they conform to health and environmental guidelines regional and state governments impose on the company. Even if PEP cuts sugar content out of their product, they are subject to the flat tax. </w:t>
      </w:r>
      <w:r w:rsidR="004819F8">
        <w:rPr>
          <w:rFonts w:ascii="Times New Roman" w:hAnsi="Times New Roman" w:cs="Times New Roman"/>
          <w:color w:val="000000"/>
        </w:rPr>
        <w:t xml:space="preserve">PEP is expanding their product line to invest in manufacturing zero-sugar beverages. The star product being “Pepsi Zero Sugar” and centralizing control over its bottling partners. Aside from phasing out sugar ingredients, they are expanding their water-based product offerings. </w:t>
      </w:r>
    </w:p>
    <w:p w14:paraId="3FFA4A6D" w14:textId="07172EEF" w:rsidR="009723A5" w:rsidRDefault="009723A5" w:rsidP="00DF540F">
      <w:pPr>
        <w:rPr>
          <w:rFonts w:ascii="Times New Roman" w:hAnsi="Times New Roman" w:cs="Times New Roman"/>
          <w:b/>
          <w:bCs/>
          <w:color w:val="000000"/>
        </w:rPr>
      </w:pPr>
      <w:r w:rsidRPr="009723A5">
        <w:rPr>
          <w:rFonts w:ascii="Times New Roman" w:hAnsi="Times New Roman" w:cs="Times New Roman"/>
          <w:b/>
          <w:bCs/>
          <w:color w:val="000000"/>
        </w:rPr>
        <w:t>Has TCJA 2017 affected PEP?</w:t>
      </w:r>
    </w:p>
    <w:p w14:paraId="07813532" w14:textId="5B60D75B" w:rsidR="009723A5" w:rsidRDefault="00F973E1" w:rsidP="00DF540F">
      <w:pPr>
        <w:rPr>
          <w:rFonts w:ascii="Times New Roman" w:hAnsi="Times New Roman" w:cs="Times New Roman"/>
        </w:rPr>
      </w:pPr>
      <w:r>
        <w:rPr>
          <w:rFonts w:ascii="Times New Roman" w:hAnsi="Times New Roman" w:cs="Times New Roman"/>
        </w:rPr>
        <w:t xml:space="preserve">TCJA 2017 did have a significant impact on PEP in terms of </w:t>
      </w:r>
      <w:r w:rsidRPr="00F973E1">
        <w:rPr>
          <w:rFonts w:ascii="Times New Roman" w:hAnsi="Times New Roman" w:cs="Times New Roman"/>
          <w:b/>
          <w:bCs/>
        </w:rPr>
        <w:t>taxation of foreign profits</w:t>
      </w:r>
      <w:r>
        <w:rPr>
          <w:rFonts w:ascii="Times New Roman" w:hAnsi="Times New Roman" w:cs="Times New Roman"/>
        </w:rPr>
        <w:t xml:space="preserve"> that were not accrued since those monies were constantly re-invested offshore. Unlike KO’s 10-K, PEP does have a Tax Cuts and Jobs Act section under their MD&amp;A disclosure. They have a transition tax liability. On their 10-K for fiscal year 2018 when TCJA 2017 went into effect, PEP had to </w:t>
      </w:r>
      <w:r w:rsidRPr="00F973E1">
        <w:rPr>
          <w:rFonts w:ascii="Times New Roman" w:hAnsi="Times New Roman" w:cs="Times New Roman"/>
          <w:b/>
          <w:bCs/>
        </w:rPr>
        <w:t>recognize a $2.5 billion tax liability on $4 billion in foreign earnings</w:t>
      </w:r>
      <w:r>
        <w:rPr>
          <w:rFonts w:ascii="Times New Roman" w:hAnsi="Times New Roman" w:cs="Times New Roman"/>
        </w:rPr>
        <w:t xml:space="preserve">. However, at the time PEP was able to </w:t>
      </w:r>
      <w:r w:rsidRPr="00F973E1">
        <w:rPr>
          <w:rFonts w:ascii="Times New Roman" w:hAnsi="Times New Roman" w:cs="Times New Roman"/>
          <w:u w:val="single"/>
        </w:rPr>
        <w:t>reduce this tax liability by $1.5 billion provisional benefit resulting from TCJA</w:t>
      </w:r>
      <w:r>
        <w:rPr>
          <w:rFonts w:ascii="Times New Roman" w:hAnsi="Times New Roman" w:cs="Times New Roman"/>
        </w:rPr>
        <w:t xml:space="preserve"> re-assessing current deferred tax assets that existed before TCJA, that were calculated under the former tax rate, and then re-valued to the new rate of 21%.  </w:t>
      </w:r>
      <w:r w:rsidR="00B471B8">
        <w:rPr>
          <w:rFonts w:ascii="Times New Roman" w:hAnsi="Times New Roman" w:cs="Times New Roman"/>
        </w:rPr>
        <w:t xml:space="preserve">In fiscal year 2022 PEP made tax overpayments of $309 million. PEP also notes that foreign income be included in gross income as per TCJA, which are referred to as “Global, Intangible, Low-Tax Income” or “GILITI” as in the word “guilty.”  </w:t>
      </w:r>
    </w:p>
    <w:p w14:paraId="3FA47EF5" w14:textId="13680FF7" w:rsidR="00B471B8" w:rsidRPr="00AC09F7" w:rsidRDefault="00B471B8" w:rsidP="00DF540F">
      <w:pPr>
        <w:rPr>
          <w:rFonts w:ascii="Times New Roman" w:hAnsi="Times New Roman" w:cs="Times New Roman"/>
          <w:b/>
          <w:bCs/>
        </w:rPr>
      </w:pPr>
      <w:r w:rsidRPr="00AC09F7">
        <w:rPr>
          <w:rFonts w:ascii="Times New Roman" w:hAnsi="Times New Roman" w:cs="Times New Roman"/>
          <w:b/>
          <w:bCs/>
        </w:rPr>
        <w:t>Do deferred tax assets and liabilities seem appropriate given the company industry?</w:t>
      </w:r>
    </w:p>
    <w:p w14:paraId="1A39294F" w14:textId="3C3AAF28" w:rsidR="00AC09F7" w:rsidRDefault="004819F8" w:rsidP="00DF540F">
      <w:pPr>
        <w:rPr>
          <w:rFonts w:ascii="Times New Roman" w:hAnsi="Times New Roman" w:cs="Times New Roman"/>
        </w:rPr>
      </w:pPr>
      <w:r>
        <w:rPr>
          <w:rFonts w:ascii="Times New Roman" w:hAnsi="Times New Roman" w:cs="Times New Roman"/>
        </w:rPr>
        <w:t xml:space="preserve">PEP began FY 2022 with 5,342 million in tax </w:t>
      </w:r>
      <w:proofErr w:type="gramStart"/>
      <w:r>
        <w:rPr>
          <w:rFonts w:ascii="Times New Roman" w:hAnsi="Times New Roman" w:cs="Times New Roman"/>
        </w:rPr>
        <w:t>assets, and</w:t>
      </w:r>
      <w:proofErr w:type="gramEnd"/>
      <w:r>
        <w:rPr>
          <w:rFonts w:ascii="Times New Roman" w:hAnsi="Times New Roman" w:cs="Times New Roman"/>
        </w:rPr>
        <w:t xml:space="preserve"> ended the year with (71) million. </w:t>
      </w:r>
      <w:r w:rsidR="00AC09F7">
        <w:rPr>
          <w:rFonts w:ascii="Times New Roman" w:hAnsi="Times New Roman" w:cs="Times New Roman"/>
        </w:rPr>
        <w:t>PEP has much less tax assets</w:t>
      </w:r>
      <w:r>
        <w:rPr>
          <w:rFonts w:ascii="Times New Roman" w:hAnsi="Times New Roman" w:cs="Times New Roman"/>
        </w:rPr>
        <w:t xml:space="preserve"> than previous</w:t>
      </w:r>
      <w:r w:rsidR="00AC09F7">
        <w:rPr>
          <w:rFonts w:ascii="Times New Roman" w:hAnsi="Times New Roman" w:cs="Times New Roman"/>
        </w:rPr>
        <w:t>.</w:t>
      </w:r>
      <w:r>
        <w:rPr>
          <w:rFonts w:ascii="Times New Roman" w:hAnsi="Times New Roman" w:cs="Times New Roman"/>
        </w:rPr>
        <w:t xml:space="preserve"> This is mainly </w:t>
      </w:r>
      <w:r w:rsidRPr="004819F8">
        <w:rPr>
          <w:rFonts w:ascii="Times New Roman" w:hAnsi="Times New Roman" w:cs="Times New Roman"/>
          <w:u w:val="single"/>
        </w:rPr>
        <w:t>due to the (5,013 million</w:t>
      </w:r>
      <w:proofErr w:type="gramStart"/>
      <w:r w:rsidRPr="004819F8">
        <w:rPr>
          <w:rFonts w:ascii="Times New Roman" w:hAnsi="Times New Roman" w:cs="Times New Roman"/>
          <w:u w:val="single"/>
        </w:rPr>
        <w:t>) in</w:t>
      </w:r>
      <w:proofErr w:type="gramEnd"/>
      <w:r w:rsidRPr="004819F8">
        <w:rPr>
          <w:rFonts w:ascii="Times New Roman" w:hAnsi="Times New Roman" w:cs="Times New Roman"/>
          <w:u w:val="single"/>
        </w:rPr>
        <w:t xml:space="preserve"> valuation allowances taken</w:t>
      </w:r>
      <w:r>
        <w:rPr>
          <w:rFonts w:ascii="Times New Roman" w:hAnsi="Times New Roman" w:cs="Times New Roman"/>
        </w:rPr>
        <w:t xml:space="preserve"> in FY 2022 to reduce the tax asset.</w:t>
      </w:r>
      <w:r w:rsidR="00AC09F7">
        <w:rPr>
          <w:rFonts w:ascii="Times New Roman" w:hAnsi="Times New Roman" w:cs="Times New Roman"/>
        </w:rPr>
        <w:t xml:space="preserve"> Currently in FY 2022 they record a </w:t>
      </w:r>
      <w:r w:rsidR="00AC09F7" w:rsidRPr="00AC09F7">
        <w:rPr>
          <w:rFonts w:ascii="Times New Roman" w:hAnsi="Times New Roman" w:cs="Times New Roman"/>
          <w:b/>
          <w:bCs/>
          <w:u w:val="single"/>
        </w:rPr>
        <w:t>tax loss</w:t>
      </w:r>
      <w:r w:rsidR="00AC09F7">
        <w:rPr>
          <w:rFonts w:ascii="Times New Roman" w:hAnsi="Times New Roman" w:cs="Times New Roman"/>
        </w:rPr>
        <w:t xml:space="preserve"> of </w:t>
      </w:r>
      <w:r w:rsidR="00AC09F7" w:rsidRPr="00AC09F7">
        <w:rPr>
          <w:rFonts w:ascii="Times New Roman" w:hAnsi="Times New Roman" w:cs="Times New Roman"/>
          <w:b/>
          <w:bCs/>
        </w:rPr>
        <w:t>(71) in millions</w:t>
      </w:r>
      <w:r w:rsidR="00AC09F7">
        <w:rPr>
          <w:rFonts w:ascii="Times New Roman" w:hAnsi="Times New Roman" w:cs="Times New Roman"/>
        </w:rPr>
        <w:t xml:space="preserve">. Whereas, before in 2021 they </w:t>
      </w:r>
      <w:r w:rsidR="00AC09F7" w:rsidRPr="00AC09F7">
        <w:rPr>
          <w:rFonts w:ascii="Times New Roman" w:hAnsi="Times New Roman" w:cs="Times New Roman"/>
          <w:b/>
          <w:bCs/>
        </w:rPr>
        <w:t>had over $516 million in tax assets</w:t>
      </w:r>
      <w:r w:rsidR="00AC09F7">
        <w:rPr>
          <w:rFonts w:ascii="Times New Roman" w:hAnsi="Times New Roman" w:cs="Times New Roman"/>
        </w:rPr>
        <w:t xml:space="preserve">. </w:t>
      </w:r>
      <w:r w:rsidR="00381335">
        <w:rPr>
          <w:rFonts w:ascii="Times New Roman" w:hAnsi="Times New Roman" w:cs="Times New Roman"/>
        </w:rPr>
        <w:t xml:space="preserve">That’s a </w:t>
      </w:r>
      <w:r w:rsidR="00381335" w:rsidRPr="00381335">
        <w:rPr>
          <w:rFonts w:ascii="Times New Roman" w:hAnsi="Times New Roman" w:cs="Times New Roman"/>
          <w:b/>
          <w:bCs/>
        </w:rPr>
        <w:t>587 million reduction in tax assets in just 1 year</w:t>
      </w:r>
      <w:r w:rsidR="00381335">
        <w:rPr>
          <w:rFonts w:ascii="Times New Roman" w:hAnsi="Times New Roman" w:cs="Times New Roman"/>
        </w:rPr>
        <w:t xml:space="preserve">. </w:t>
      </w:r>
      <w:r w:rsidR="00AC09F7">
        <w:rPr>
          <w:rFonts w:ascii="Times New Roman" w:hAnsi="Times New Roman" w:cs="Times New Roman"/>
        </w:rPr>
        <w:t xml:space="preserve">As we accountants know, tax assets and tax liabilities do not net against each other in the financial statements. </w:t>
      </w:r>
      <w:r w:rsidR="00381335">
        <w:rPr>
          <w:rFonts w:ascii="Times New Roman" w:hAnsi="Times New Roman" w:cs="Times New Roman"/>
        </w:rPr>
        <w:t>And I do not see any other disclosures on the footnotes that relate to this.</w:t>
      </w:r>
    </w:p>
    <w:p w14:paraId="3B0B0DA7" w14:textId="268D0C1E" w:rsidR="00AC09F7" w:rsidRDefault="00AC09F7" w:rsidP="00DF540F">
      <w:pPr>
        <w:rPr>
          <w:rFonts w:ascii="Times New Roman" w:hAnsi="Times New Roman" w:cs="Times New Roman"/>
        </w:rPr>
      </w:pPr>
      <w:r>
        <w:rPr>
          <w:noProof/>
        </w:rPr>
        <w:lastRenderedPageBreak/>
        <w:drawing>
          <wp:inline distT="0" distB="0" distL="0" distR="0" wp14:anchorId="0C169233" wp14:editId="601212E4">
            <wp:extent cx="5943600" cy="2419985"/>
            <wp:effectExtent l="0" t="0" r="0" b="0"/>
            <wp:docPr id="1" name="Picture 1" descr="Background patter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Background pattern&#10;&#10;Description automatically generated"/>
                    <pic:cNvPicPr/>
                  </pic:nvPicPr>
                  <pic:blipFill>
                    <a:blip r:embed="rId6"/>
                    <a:stretch>
                      <a:fillRect/>
                    </a:stretch>
                  </pic:blipFill>
                  <pic:spPr>
                    <a:xfrm>
                      <a:off x="0" y="0"/>
                      <a:ext cx="5943600" cy="2419985"/>
                    </a:xfrm>
                    <a:prstGeom prst="rect">
                      <a:avLst/>
                    </a:prstGeom>
                  </pic:spPr>
                </pic:pic>
              </a:graphicData>
            </a:graphic>
          </wp:inline>
        </w:drawing>
      </w:r>
    </w:p>
    <w:p w14:paraId="1F89E062" w14:textId="34D04BE2" w:rsidR="00B471B8" w:rsidRPr="009723A5" w:rsidRDefault="004819F8" w:rsidP="00DF540F">
      <w:pPr>
        <w:rPr>
          <w:rFonts w:ascii="Times New Roman" w:hAnsi="Times New Roman" w:cs="Times New Roman"/>
        </w:rPr>
      </w:pPr>
      <w:r>
        <w:rPr>
          <w:rFonts w:ascii="Times New Roman" w:hAnsi="Times New Roman" w:cs="Times New Roman"/>
        </w:rPr>
        <w:t xml:space="preserve">PEP has increased its valuation allowances from (4628) in FY 2021 to (5013), this greatly reduced their assets. As for </w:t>
      </w:r>
      <w:proofErr w:type="gramStart"/>
      <w:r>
        <w:rPr>
          <w:rFonts w:ascii="Times New Roman" w:hAnsi="Times New Roman" w:cs="Times New Roman"/>
        </w:rPr>
        <w:t>if</w:t>
      </w:r>
      <w:proofErr w:type="gramEnd"/>
      <w:r>
        <w:rPr>
          <w:rFonts w:ascii="Times New Roman" w:hAnsi="Times New Roman" w:cs="Times New Roman"/>
        </w:rPr>
        <w:t xml:space="preserve"> it’s appropriate, PEP has disclosed on their 10-K they are permitted to use valuation allowances as managers see fit provided strong evidence to do so.</w:t>
      </w:r>
    </w:p>
    <w:sectPr w:rsidR="00B471B8" w:rsidRPr="009723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540F"/>
    <w:rsid w:val="000D4045"/>
    <w:rsid w:val="001D5740"/>
    <w:rsid w:val="00381335"/>
    <w:rsid w:val="004276F0"/>
    <w:rsid w:val="004819F8"/>
    <w:rsid w:val="0052265E"/>
    <w:rsid w:val="00890869"/>
    <w:rsid w:val="008D02FF"/>
    <w:rsid w:val="00932540"/>
    <w:rsid w:val="009723A5"/>
    <w:rsid w:val="00984158"/>
    <w:rsid w:val="009D6F8F"/>
    <w:rsid w:val="00A819D8"/>
    <w:rsid w:val="00AC09F7"/>
    <w:rsid w:val="00B471B8"/>
    <w:rsid w:val="00CD09B1"/>
    <w:rsid w:val="00DF540F"/>
    <w:rsid w:val="00EB1938"/>
    <w:rsid w:val="00F82F41"/>
    <w:rsid w:val="00F973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E09CDF"/>
  <w15:chartTrackingRefBased/>
  <w15:docId w15:val="{A95A2BA9-0ED7-4039-8007-C8E88A4DD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1277</Words>
  <Characters>7282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Kelly</dc:creator>
  <cp:keywords/>
  <dc:description/>
  <cp:lastModifiedBy>John Kelly</cp:lastModifiedBy>
  <cp:revision>2</cp:revision>
  <dcterms:created xsi:type="dcterms:W3CDTF">2023-04-04T02:30:00Z</dcterms:created>
  <dcterms:modified xsi:type="dcterms:W3CDTF">2023-04-04T02:30:00Z</dcterms:modified>
</cp:coreProperties>
</file>